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51CB1" w14:textId="77777777" w:rsidR="000852E7" w:rsidRPr="000852E7" w:rsidRDefault="000852E7" w:rsidP="000852E7">
      <w:pPr>
        <w:bidi w:val="0"/>
        <w:spacing w:before="100" w:beforeAutospacing="1" w:after="100" w:afterAutospacing="1" w:line="240" w:lineRule="auto"/>
        <w:jc w:val="both"/>
        <w:rPr>
          <w:rFonts w:eastAsia="Times New Roman" w:cstheme="minorHAnsi"/>
          <w:b/>
          <w:bCs/>
          <w:sz w:val="24"/>
          <w:szCs w:val="24"/>
          <w:lang w:bidi="ar-PS"/>
        </w:rPr>
      </w:pPr>
      <w:r w:rsidRPr="000852E7">
        <w:rPr>
          <w:rFonts w:eastAsia="Times New Roman" w:cstheme="minorHAnsi"/>
          <w:b/>
          <w:bCs/>
          <w:sz w:val="24"/>
          <w:szCs w:val="24"/>
          <w:lang w:bidi="ar-PS"/>
        </w:rPr>
        <w:t>Contributions of the Civil Sector and Regional Initiatives in the Humanitarian Response During the Aggression on the Gaza Strip: Capabilities, Challenges, and Lessons Learned</w:t>
      </w:r>
    </w:p>
    <w:p w14:paraId="4B0A7570"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Dr. Bassam Zaqout</w:t>
      </w:r>
    </w:p>
    <w:p w14:paraId="6B4819EF"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i/>
          <w:iCs/>
          <w:sz w:val="24"/>
          <w:szCs w:val="24"/>
          <w:lang w:bidi="ar-PS"/>
        </w:rPr>
        <w:t>Director of the Palestinian Medical Relief Society</w:t>
      </w:r>
    </w:p>
    <w:p w14:paraId="4817D445"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Part One: Opening and Introduction</w:t>
      </w:r>
    </w:p>
    <w:p w14:paraId="55372B04"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Ladies and Gentlemen... Distinguished Audience...</w:t>
      </w:r>
    </w:p>
    <w:p w14:paraId="407A0B06"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Peace, mercy, and blessings of Allah be upon you,</w:t>
      </w:r>
    </w:p>
    <w:p w14:paraId="2505C577"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 xml:space="preserve">I am pleased to share with you today this paper entitled: </w:t>
      </w:r>
      <w:r w:rsidRPr="000852E7">
        <w:rPr>
          <w:rFonts w:eastAsia="Times New Roman" w:cstheme="minorHAnsi"/>
          <w:i/>
          <w:iCs/>
          <w:sz w:val="24"/>
          <w:szCs w:val="24"/>
          <w:lang w:bidi="ar-PS"/>
        </w:rPr>
        <w:t>"Contributions of the Civil Sector and Regional Initiatives in the Humanitarian Response During the Aggression on the Gaza Strip: Capabilities, Challenges, and Lessons Learned."</w:t>
      </w:r>
    </w:p>
    <w:p w14:paraId="6975295D"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war on the Gaza Strip has constituted one of the most complex humanitarian and health crises in modern history—not only due to the scale of destruction inflicted upon the population and infrastructure, but because it placed the health system before an unprecedented test of its capacity to survive under near-impossible conditions. The widespread targeting of health facilities coincided with severe shortages of medicines, medical supplies, and fuel, the collapse of electricity and communications networks, ongoing waves of displacement, and the loss of large numbers of health personnel who were killed, injured, or displaced.</w:t>
      </w:r>
    </w:p>
    <w:p w14:paraId="4EC0CB65"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Under such circumstances, it was expected that the health system would completely cease to function. However, what happened on the ground was different; essential health services continued to reach the population—albeit with limited capacities—and emergency operations, primary care, maternity services, management of chronic diseases, psychological support, and life-saving referrals continued despite all the challenges faced.</w:t>
      </w:r>
    </w:p>
    <w:p w14:paraId="5547D022"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From here, this paper stems from a primary question:</w:t>
      </w:r>
    </w:p>
    <w:p w14:paraId="3F089E84"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i/>
          <w:iCs/>
          <w:sz w:val="24"/>
          <w:szCs w:val="24"/>
          <w:lang w:bidi="ar-PS"/>
        </w:rPr>
        <w:t>How was the health system in the Gaza Strip able to maintain a minimum level of health services amidst this unprecedented level of destruction?</w:t>
      </w:r>
    </w:p>
    <w:p w14:paraId="48B5F296"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continuity of health services was not the result of the efforts of a single entity; rather, it was the fruit of integration between the Palestinian Ministry of Health, civil health institutions, regional initiatives, and international organizations, with each party playing a distinct yet complementary role within a unified response framework.</w:t>
      </w:r>
    </w:p>
    <w:p w14:paraId="07284D05"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 xml:space="preserve">This paper does not aim merely to document the magnitude of the humanitarian catastrophe—this reality has already been documented in dozens of international reports—but rather seeks to analyze the mechanisms of institutional resilience that </w:t>
      </w:r>
      <w:r w:rsidRPr="000852E7">
        <w:rPr>
          <w:rFonts w:eastAsia="Times New Roman" w:cstheme="minorHAnsi"/>
          <w:sz w:val="24"/>
          <w:szCs w:val="24"/>
          <w:lang w:bidi="ar-PS"/>
        </w:rPr>
        <w:lastRenderedPageBreak/>
        <w:t>enabled the health system to endure, and to extract lessons that can be leveraged to build health systems more capable of coping with protracted crises.</w:t>
      </w:r>
    </w:p>
    <w:p w14:paraId="301F7B34" w14:textId="47C75824"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 xml:space="preserve">The significance of this study is not limited to the Palestinian context; it extends to the global debate on the future of health response in conflict-affected environments, and on the role </w:t>
      </w:r>
      <w:r w:rsidRPr="000852E7">
        <w:rPr>
          <w:rFonts w:eastAsia="Times New Roman" w:cstheme="minorHAnsi"/>
          <w:sz w:val="24"/>
          <w:szCs w:val="24"/>
          <w:lang w:bidi="ar-PS"/>
        </w:rPr>
        <w:t>those national institutions and regional initiatives</w:t>
      </w:r>
      <w:r w:rsidRPr="000852E7">
        <w:rPr>
          <w:rFonts w:eastAsia="Times New Roman" w:cstheme="minorHAnsi"/>
          <w:sz w:val="24"/>
          <w:szCs w:val="24"/>
          <w:lang w:bidi="ar-PS"/>
        </w:rPr>
        <w:t xml:space="preserve"> can play in maintaining essential services when traditional health systems come under exceptional pressure.</w:t>
      </w:r>
    </w:p>
    <w:p w14:paraId="42C6512F"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The Impact of the Aggression on the Health System</w:t>
      </w:r>
    </w:p>
    <w:p w14:paraId="4D254301"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Throughout the months of war, the health sector did not face a single challenge, but rather a set of simultaneous crises. Hospitals and health centers were subjected to direct targeting or severe damage, and many of them ceased operation as a result of shelling, evacuation orders, or the lack of fuel and medical supplies. At the same time, the demand for health services rose to unprecedented levels due to the massive number of casualties, deteriorating living conditions, the spread of infectious diseases, and the disruption of preventive care services.</w:t>
      </w:r>
    </w:p>
    <w:p w14:paraId="2988496B"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crisis was not limited to infrastructure, but extended to human resources. The health sector lost a large number of its personnel—killed or injured—while others were forced to displace or work under extreme danger and for long hours without interruption. Furthermore, frequent power and communication outages, fuel shortages, and disrupted supply chains weakened the operational capacity of the remaining health facilities.</w:t>
      </w:r>
    </w:p>
    <w:p w14:paraId="6C754F5B"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Despite these conditions, what is striking is that the health system did not experience a complete collapse. Governmental, civil, and field hospitals continued to provide services, albeit with varying degrees of readiness, and dozens of primary healthcare centers and mobile clinics continued to provide essential services across the Strip.</w:t>
      </w:r>
    </w:p>
    <w:p w14:paraId="6B724CD1"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 xml:space="preserve">Here, an important question arises: </w:t>
      </w:r>
      <w:r w:rsidRPr="000852E7">
        <w:rPr>
          <w:rFonts w:eastAsia="Times New Roman" w:cstheme="minorHAnsi"/>
          <w:i/>
          <w:iCs/>
          <w:sz w:val="24"/>
          <w:szCs w:val="24"/>
          <w:lang w:bidi="ar-PS"/>
        </w:rPr>
        <w:t>What prevented the complete collapse of the health system?</w:t>
      </w:r>
    </w:p>
    <w:p w14:paraId="1AF9EA62"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continuity of services was not merely the result of the survival of certain health facilities, but rather the result of a complex network of cooperation between national institutions possessing expertise and field presence, regional initiatives that provided operational resources, and international organizations that handled coordination, technical, and financial support. Practically speaking, an integrative response system was formed that managed to maintain a minimum level of health services despite the continuous deterioration of the operational environment.</w:t>
      </w:r>
    </w:p>
    <w:p w14:paraId="00A18035" w14:textId="53643F5B" w:rsid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Hence, discussing the civil sector and regional initiatives is not a discussion about entities that provided auxiliary aid, but rather about essential partners in preserving the functions of the health system and its operational continuity.</w:t>
      </w:r>
    </w:p>
    <w:p w14:paraId="47DF66F1" w14:textId="607D0011" w:rsidR="000852E7" w:rsidRDefault="000852E7" w:rsidP="000852E7">
      <w:pPr>
        <w:bidi w:val="0"/>
        <w:spacing w:before="100" w:beforeAutospacing="1" w:after="100" w:afterAutospacing="1" w:line="240" w:lineRule="auto"/>
        <w:jc w:val="both"/>
        <w:rPr>
          <w:rFonts w:eastAsia="Times New Roman" w:cstheme="minorHAnsi"/>
          <w:sz w:val="24"/>
          <w:szCs w:val="24"/>
          <w:lang w:bidi="ar-PS"/>
        </w:rPr>
      </w:pPr>
    </w:p>
    <w:p w14:paraId="3678882F"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p>
    <w:p w14:paraId="4EC0131F"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Contributions of the Civil Sector in the Humanitarian Response</w:t>
      </w:r>
    </w:p>
    <w:p w14:paraId="39AA6A00"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experience of Gaza proved that the civil sector was not merely an implementer of humanitarian projects, but one of the main pillars upon which the health response relied throughout the war.</w:t>
      </w:r>
    </w:p>
    <w:p w14:paraId="59B149DB"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This is because civil health institutions had been present for years prior to the crisis, possessing health centers, hospitals, national cadres, community networks, and deeply rooted relations with the population. These assets granted them a high capacity to adapt to field changes and to continue working even when some facilities went out of service.</w:t>
      </w:r>
    </w:p>
    <w:p w14:paraId="016B37D2"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contribution of the civil sector operated at multiple levels:</w:t>
      </w:r>
    </w:p>
    <w:p w14:paraId="09491DED" w14:textId="77777777" w:rsidR="000852E7" w:rsidRPr="000852E7" w:rsidRDefault="000852E7" w:rsidP="000852E7">
      <w:pPr>
        <w:numPr>
          <w:ilvl w:val="0"/>
          <w:numId w:val="1"/>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At the hospital level:</w:t>
      </w:r>
      <w:r w:rsidRPr="000852E7">
        <w:rPr>
          <w:rFonts w:eastAsia="Times New Roman" w:cstheme="minorHAnsi"/>
          <w:sz w:val="24"/>
          <w:szCs w:val="24"/>
          <w:lang w:bidi="ar-PS"/>
        </w:rPr>
        <w:t xml:space="preserve"> Civil hospitals continued to provide emergency, surgical, maternity, and intensive care services, receiving large numbers of the wounded and sick, and contributing to alleviating the pressure on government hospitals which faced unprecedented strain. They also participated in the health referral network and contributed to sustaining several specialized services that could have otherwise stopped entirely.</w:t>
      </w:r>
    </w:p>
    <w:p w14:paraId="550DCE23" w14:textId="77777777" w:rsidR="000852E7" w:rsidRPr="000852E7" w:rsidRDefault="000852E7" w:rsidP="000852E7">
      <w:pPr>
        <w:numPr>
          <w:ilvl w:val="0"/>
          <w:numId w:val="1"/>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At the primary healthcare level:</w:t>
      </w:r>
      <w:r w:rsidRPr="000852E7">
        <w:rPr>
          <w:rFonts w:eastAsia="Times New Roman" w:cstheme="minorHAnsi"/>
          <w:sz w:val="24"/>
          <w:szCs w:val="24"/>
          <w:lang w:bidi="ar-PS"/>
        </w:rPr>
        <w:t xml:space="preserve"> Civil institutions maintained the operation of dozens of health centers, medical points, and mobile clinics, providing millions of health services that included acute disease management, follow-up on chronic illnesses, maternal and child care, vaccination, reproductive health, psychological support, nutrition, and rehabilitation services.</w:t>
      </w:r>
    </w:p>
    <w:p w14:paraId="0DA9ED2C" w14:textId="77777777" w:rsidR="000852E7" w:rsidRPr="000852E7" w:rsidRDefault="000852E7" w:rsidP="000852E7">
      <w:pPr>
        <w:numPr>
          <w:ilvl w:val="0"/>
          <w:numId w:val="1"/>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Mobile clinics:</w:t>
      </w:r>
      <w:r w:rsidRPr="000852E7">
        <w:rPr>
          <w:rFonts w:eastAsia="Times New Roman" w:cstheme="minorHAnsi"/>
          <w:sz w:val="24"/>
          <w:szCs w:val="24"/>
          <w:lang w:bidi="ar-PS"/>
        </w:rPr>
        <w:t xml:space="preserve"> They played a critical role in reaching populations in displacement areas and hard-to-reach locations, which helped bridge the gap resulting from the suspension of some fixed health facilities.</w:t>
      </w:r>
    </w:p>
    <w:p w14:paraId="4AFC61B0"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role of the civil sector was not limited to therapeutic services, but extended to health awareness, management of prevention campaigns, psychosocial support, case management, referral, and the distribution of medicines and health aid, making it a key partner in the comprehensive humanitarian response.</w:t>
      </w:r>
    </w:p>
    <w:p w14:paraId="4F3C7953"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most important takeaway from the civil sector's experience is not just the number of services it provided—despite their importance—but its ability to maintain the continuity of the health system itself. It provided operational flexibility, maintained continuous access to local communities, and helped bridge the gaps left by the destruction of a large part of the health infrastructure.</w:t>
      </w:r>
    </w:p>
    <w:p w14:paraId="5E073D91"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Thus, the civil sector was not a substitute for the Ministry of Health, but a complementary partner that played a pivotal role in mitigating the impact of the collapse of wide parts of the health system.</w:t>
      </w:r>
    </w:p>
    <w:p w14:paraId="56D1CA67"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Regional Initiatives: From Providing Aid to Enhancing Health System Resilience</w:t>
      </w:r>
    </w:p>
    <w:p w14:paraId="494EAC61"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Ladies and Gentlemen,</w:t>
      </w:r>
    </w:p>
    <w:p w14:paraId="6A37F2B5"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This conference coincides with the passing of one thousand days since the launch of Operation "Gallant Knight 3", which represents one of the largest humanitarian and relief initiatives implemented to support the Gaza Strip since October 2023. This occasion provides an opportunity to evaluate the impact that regional initiatives can have in supporting health systems during protracted crises.</w:t>
      </w:r>
    </w:p>
    <w:p w14:paraId="7F66F20D"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 xml:space="preserve">The war on the Gaza Strip demonstrated the importance of the role </w:t>
      </w:r>
      <w:proofErr w:type="gramStart"/>
      <w:r w:rsidRPr="000852E7">
        <w:rPr>
          <w:rFonts w:eastAsia="Times New Roman" w:cstheme="minorHAnsi"/>
          <w:sz w:val="24"/>
          <w:szCs w:val="24"/>
          <w:lang w:bidi="ar-PS"/>
        </w:rPr>
        <w:t>that regional initiatives</w:t>
      </w:r>
      <w:proofErr w:type="gramEnd"/>
      <w:r w:rsidRPr="000852E7">
        <w:rPr>
          <w:rFonts w:eastAsia="Times New Roman" w:cstheme="minorHAnsi"/>
          <w:sz w:val="24"/>
          <w:szCs w:val="24"/>
          <w:lang w:bidi="ar-PS"/>
        </w:rPr>
        <w:t xml:space="preserve"> can play in supporting the humanitarian response, especially under the unprecedented pressures faced by the health system and the challenges confronting traditional international response mechanisms. In this context, Operation "Gallant Knight 3" emerged as an integrated model of response, as it was not limited to providing humanitarian aid, but included health, logistical, and developmental interventions that contributed to enhancing the capacity of health institutions to continue providing their services.</w:t>
      </w:r>
    </w:p>
    <w:p w14:paraId="2B60D6EF"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Prominent Interventions of Gallant Knight 3:</w:t>
      </w:r>
    </w:p>
    <w:p w14:paraId="3D224C31"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Total Aid Provided:</w:t>
      </w:r>
      <w:r w:rsidRPr="000852E7">
        <w:rPr>
          <w:rFonts w:eastAsia="Times New Roman" w:cstheme="minorHAnsi"/>
          <w:sz w:val="24"/>
          <w:szCs w:val="24"/>
          <w:lang w:bidi="ar-PS"/>
        </w:rPr>
        <w:t xml:space="preserve"> More than 122,000 tons of humanitarian aid (as of April 2026), later rising to over 65,500 additional tons within subsequent phases of the operation, with a total value exceeding 3 billion dollars according to UAE data (WAM).</w:t>
      </w:r>
    </w:p>
    <w:p w14:paraId="67D1C492"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Air Bridge:</w:t>
      </w:r>
      <w:r w:rsidRPr="000852E7">
        <w:rPr>
          <w:rFonts w:eastAsia="Times New Roman" w:cstheme="minorHAnsi"/>
          <w:sz w:val="24"/>
          <w:szCs w:val="24"/>
          <w:lang w:bidi="ar-PS"/>
        </w:rPr>
        <w:t xml:space="preserve"> Dozens of flights to transport medicines and humanitarian aid to Al-Arish and onward to Gaza (WAM).</w:t>
      </w:r>
    </w:p>
    <w:p w14:paraId="756F0DE5"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Aid Convoys:</w:t>
      </w:r>
      <w:r w:rsidRPr="000852E7">
        <w:rPr>
          <w:rFonts w:eastAsia="Times New Roman" w:cstheme="minorHAnsi"/>
          <w:sz w:val="24"/>
          <w:szCs w:val="24"/>
          <w:lang w:bidi="ar-PS"/>
        </w:rPr>
        <w:t xml:space="preserve"> Hundreds of land convoys via the </w:t>
      </w:r>
      <w:proofErr w:type="spellStart"/>
      <w:r w:rsidRPr="000852E7">
        <w:rPr>
          <w:rFonts w:eastAsia="Times New Roman" w:cstheme="minorHAnsi"/>
          <w:sz w:val="24"/>
          <w:szCs w:val="24"/>
          <w:lang w:bidi="ar-PS"/>
        </w:rPr>
        <w:t>Kerem</w:t>
      </w:r>
      <w:proofErr w:type="spellEnd"/>
      <w:r w:rsidRPr="000852E7">
        <w:rPr>
          <w:rFonts w:eastAsia="Times New Roman" w:cstheme="minorHAnsi"/>
          <w:sz w:val="24"/>
          <w:szCs w:val="24"/>
          <w:lang w:bidi="ar-PS"/>
        </w:rPr>
        <w:t xml:space="preserve"> Shalom crossing and the Al-Arish logistics center, including more than 328 convoys by March 2026 (WAM).</w:t>
      </w:r>
    </w:p>
    <w:p w14:paraId="407509DF"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Relief Ships:</w:t>
      </w:r>
      <w:r w:rsidRPr="000852E7">
        <w:rPr>
          <w:rFonts w:eastAsia="Times New Roman" w:cstheme="minorHAnsi"/>
          <w:sz w:val="24"/>
          <w:szCs w:val="24"/>
          <w:lang w:bidi="ar-PS"/>
        </w:rPr>
        <w:t xml:space="preserve"> Equipping and dispatching 9 relief ships loaded with thousands of tons of food, medical, and shelter materials (RRC Dr.).</w:t>
      </w:r>
    </w:p>
    <w:p w14:paraId="65087744"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Field Hospital Inside Gaza:</w:t>
      </w:r>
      <w:r w:rsidRPr="000852E7">
        <w:rPr>
          <w:rFonts w:eastAsia="Times New Roman" w:cstheme="minorHAnsi"/>
          <w:sz w:val="24"/>
          <w:szCs w:val="24"/>
          <w:lang w:bidi="ar-PS"/>
        </w:rPr>
        <w:t xml:space="preserve"> Provided medical services to more than 53,802 patients since its opening in December 2023 (WAM).</w:t>
      </w:r>
    </w:p>
    <w:p w14:paraId="10D461F1"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Floating Hospital in Al-Arish:</w:t>
      </w:r>
      <w:r w:rsidRPr="000852E7">
        <w:rPr>
          <w:rFonts w:eastAsia="Times New Roman" w:cstheme="minorHAnsi"/>
          <w:sz w:val="24"/>
          <w:szCs w:val="24"/>
          <w:lang w:bidi="ar-PS"/>
        </w:rPr>
        <w:t xml:space="preserve"> Treated more than 10,300 patients evacuated from Gaza (WAM).</w:t>
      </w:r>
    </w:p>
    <w:p w14:paraId="3EBE2627" w14:textId="77777777" w:rsidR="000852E7" w:rsidRPr="000852E7" w:rsidRDefault="000852E7" w:rsidP="000852E7">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Emirates Medical Center 1 &amp; 2:</w:t>
      </w:r>
      <w:r w:rsidRPr="000852E7">
        <w:rPr>
          <w:rFonts w:eastAsia="Times New Roman" w:cstheme="minorHAnsi"/>
          <w:sz w:val="24"/>
          <w:szCs w:val="24"/>
          <w:lang w:bidi="ar-PS"/>
        </w:rPr>
        <w:t xml:space="preserve"> Provided medical services to more than 62,706 patients.</w:t>
      </w:r>
    </w:p>
    <w:p w14:paraId="1FCA8A93"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However, the true value of this initiative, from the perspective of this paper, does not lie in the volume of resources mobilized, but in how these resources were deployed to support the continuity of the Palestinian health system. The operation enhanced the response capacity of national hospitals and health institutions, and contributed to filling critical gaps in treatment, medical supply, and evacuation, without replacing national institutions; rather, it worked in coordination with them, the Palestinian Ministry of Health, and humanitarian partners.</w:t>
      </w:r>
    </w:p>
    <w:p w14:paraId="3832EC2A"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Hence, Operation "Gallant Knight 3" presents a practical example that regional initiatives achieve their greatest impact when built on the principle of partnership with national institutions, responding to their operational priorities, and integrating with their efforts. This aligns with the core conclusion of this paper: that the resilience of the health system in times of conflict relies on the integration of roles among local, regional, and international actors, rather than the efforts of any single party.</w:t>
      </w:r>
    </w:p>
    <w:p w14:paraId="149ADB08"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Challenges: Success Achieved Amidst a Highly Complex Environment</w:t>
      </w:r>
    </w:p>
    <w:p w14:paraId="13D1783B"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Despite the achievements realized, the humanitarian response faced unprecedented challenges:</w:t>
      </w:r>
    </w:p>
    <w:p w14:paraId="65FE3D5B" w14:textId="77777777" w:rsidR="000852E7" w:rsidRPr="000852E7" w:rsidRDefault="000852E7" w:rsidP="000852E7">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The Security Challenge:</w:t>
      </w:r>
      <w:r w:rsidRPr="000852E7">
        <w:rPr>
          <w:rFonts w:eastAsia="Times New Roman" w:cstheme="minorHAnsi"/>
          <w:sz w:val="24"/>
          <w:szCs w:val="24"/>
          <w:lang w:bidi="ar-PS"/>
        </w:rPr>
        <w:t xml:space="preserve"> Military operations did not only increase health needs, but directly impacted the ability of institutions to deliver services due to the targeting of health facilities, repeated evacuation orders, and the difficulty of ambulance and medical team movements.</w:t>
      </w:r>
    </w:p>
    <w:p w14:paraId="6584C8AA" w14:textId="77777777" w:rsidR="000852E7" w:rsidRPr="000852E7" w:rsidRDefault="000852E7" w:rsidP="000852E7">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The Operational Challenge:</w:t>
      </w:r>
      <w:r w:rsidRPr="000852E7">
        <w:rPr>
          <w:rFonts w:eastAsia="Times New Roman" w:cstheme="minorHAnsi"/>
          <w:sz w:val="24"/>
          <w:szCs w:val="24"/>
          <w:lang w:bidi="ar-PS"/>
        </w:rPr>
        <w:t xml:space="preserve"> Represented by chronic shortages of fuel, electricity, water, and communications—indispensable elements for operating hospitals, laboratories, blood banks, and the cold chain for medicines and vaccines.</w:t>
      </w:r>
    </w:p>
    <w:p w14:paraId="3212FE38" w14:textId="77777777" w:rsidR="000852E7" w:rsidRPr="000852E7" w:rsidRDefault="000852E7" w:rsidP="000852E7">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Logistical Challenges:</w:t>
      </w:r>
      <w:r w:rsidRPr="000852E7">
        <w:rPr>
          <w:rFonts w:eastAsia="Times New Roman" w:cstheme="minorHAnsi"/>
          <w:sz w:val="24"/>
          <w:szCs w:val="24"/>
          <w:lang w:bidi="ar-PS"/>
        </w:rPr>
        <w:t xml:space="preserve"> Restrictions imposed on the entry of medicines, medical supplies, and equipment, which affected the continuity of several specialized services.</w:t>
      </w:r>
    </w:p>
    <w:p w14:paraId="1DAF89BB" w14:textId="77777777" w:rsidR="000852E7" w:rsidRPr="000852E7" w:rsidRDefault="000852E7" w:rsidP="000852E7">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Human Resources:</w:t>
      </w:r>
      <w:r w:rsidRPr="000852E7">
        <w:rPr>
          <w:rFonts w:eastAsia="Times New Roman" w:cstheme="minorHAnsi"/>
          <w:sz w:val="24"/>
          <w:szCs w:val="24"/>
          <w:lang w:bidi="ar-PS"/>
        </w:rPr>
        <w:t xml:space="preserve"> Health staff worked under immense psychological and physical pressure, with ongoing displacement, the loss of many colleagues, and long working hours under extreme danger.</w:t>
      </w:r>
    </w:p>
    <w:p w14:paraId="7243872C" w14:textId="77777777" w:rsidR="000852E7" w:rsidRPr="000852E7" w:rsidRDefault="000852E7" w:rsidP="000852E7">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Funding Challenges:</w:t>
      </w:r>
      <w:r w:rsidRPr="000852E7">
        <w:rPr>
          <w:rFonts w:eastAsia="Times New Roman" w:cstheme="minorHAnsi"/>
          <w:sz w:val="24"/>
          <w:szCs w:val="24"/>
          <w:lang w:bidi="ar-PS"/>
        </w:rPr>
        <w:t xml:space="preserve"> Many interventions relied on short-term funding, while the crisis required more flexible funding allowing institutions to reallocate resources according to continuously changing needs.</w:t>
      </w:r>
    </w:p>
    <w:p w14:paraId="23A5A4B0"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Despite these multiple challenges, experience proved that institutions endowed with administrative flexibility, strong partnerships, and qualified national cadres were more capable of continuing operations compared to others.</w:t>
      </w:r>
    </w:p>
    <w:p w14:paraId="24ABB79A"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Towards a Model of Integration in Health Response</w:t>
      </w:r>
    </w:p>
    <w:p w14:paraId="6AAF433E"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These observations lead us to one of the most important findings of this study: that the continuity of health services in the Gaza Strip was not the result of the performance of a single institution, but the outcome of an integrative model that practically formed during the crisis:</w:t>
      </w:r>
    </w:p>
    <w:p w14:paraId="60B3997B" w14:textId="77777777" w:rsidR="000852E7" w:rsidRPr="000852E7" w:rsidRDefault="000852E7" w:rsidP="000852E7">
      <w:pPr>
        <w:numPr>
          <w:ilvl w:val="0"/>
          <w:numId w:val="4"/>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The Palestinian Ministry of Health:</w:t>
      </w:r>
      <w:r w:rsidRPr="000852E7">
        <w:rPr>
          <w:rFonts w:eastAsia="Times New Roman" w:cstheme="minorHAnsi"/>
          <w:sz w:val="24"/>
          <w:szCs w:val="24"/>
          <w:lang w:bidi="ar-PS"/>
        </w:rPr>
        <w:t xml:space="preserve"> Assumed the role of technical leadership, continuing to operate government hospitals, manage referral services, and set health priorities.</w:t>
      </w:r>
    </w:p>
    <w:p w14:paraId="6513FC77" w14:textId="77777777" w:rsidR="000852E7" w:rsidRPr="000852E7" w:rsidRDefault="000852E7" w:rsidP="000852E7">
      <w:pPr>
        <w:numPr>
          <w:ilvl w:val="0"/>
          <w:numId w:val="4"/>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The Civil Sector:</w:t>
      </w:r>
      <w:r w:rsidRPr="000852E7">
        <w:rPr>
          <w:rFonts w:eastAsia="Times New Roman" w:cstheme="minorHAnsi"/>
          <w:sz w:val="24"/>
          <w:szCs w:val="24"/>
          <w:lang w:bidi="ar-PS"/>
        </w:rPr>
        <w:t xml:space="preserve"> Undertook the operation of civil hospitals, primary healthcare centers, and mobile clinics, providing a broad spectrum of therapeutic, preventive, and rehabilitative services.</w:t>
      </w:r>
    </w:p>
    <w:p w14:paraId="4AC959F1" w14:textId="77777777" w:rsidR="000852E7" w:rsidRPr="000852E7" w:rsidRDefault="000852E7" w:rsidP="000852E7">
      <w:pPr>
        <w:numPr>
          <w:ilvl w:val="0"/>
          <w:numId w:val="4"/>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Regional Initiatives:</w:t>
      </w:r>
      <w:r w:rsidRPr="000852E7">
        <w:rPr>
          <w:rFonts w:eastAsia="Times New Roman" w:cstheme="minorHAnsi"/>
          <w:sz w:val="24"/>
          <w:szCs w:val="24"/>
          <w:lang w:bidi="ar-PS"/>
        </w:rPr>
        <w:t xml:space="preserve"> Provided essential operational resources, including field hospitals, medical supplies, specialized teams, and medical evacuation programs.</w:t>
      </w:r>
    </w:p>
    <w:p w14:paraId="298C3DEE" w14:textId="77777777" w:rsidR="000852E7" w:rsidRPr="000852E7" w:rsidRDefault="000852E7" w:rsidP="000852E7">
      <w:pPr>
        <w:numPr>
          <w:ilvl w:val="0"/>
          <w:numId w:val="4"/>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UN Agencies and International Organizations:</w:t>
      </w:r>
      <w:r w:rsidRPr="000852E7">
        <w:rPr>
          <w:rFonts w:eastAsia="Times New Roman" w:cstheme="minorHAnsi"/>
          <w:sz w:val="24"/>
          <w:szCs w:val="24"/>
          <w:lang w:bidi="ar-PS"/>
        </w:rPr>
        <w:t xml:space="preserve"> Played a pivotal role in coordinating among various actors, mobilizing resources, providing technical support, and strengthening working mechanisms within the health cluster.</w:t>
      </w:r>
    </w:p>
    <w:p w14:paraId="0430A2F7"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importance of this model lies in providing a framework that can be utilized in other conflict zones, affirming that health system resilience is achieved through a network of integrated institutions where roles and responsibilities are distributed flexibly.</w:t>
      </w:r>
    </w:p>
    <w:p w14:paraId="58E8867E"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Lessons Learned</w:t>
      </w:r>
    </w:p>
    <w:p w14:paraId="6B7C626B" w14:textId="77777777" w:rsidR="000852E7" w:rsidRPr="000852E7" w:rsidRDefault="000852E7" w:rsidP="000852E7">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National institutions are the foundation of sustainability:</w:t>
      </w:r>
      <w:r w:rsidRPr="000852E7">
        <w:rPr>
          <w:rFonts w:eastAsia="Times New Roman" w:cstheme="minorHAnsi"/>
          <w:sz w:val="24"/>
          <w:szCs w:val="24"/>
          <w:lang w:bidi="ar-PS"/>
        </w:rPr>
        <w:t xml:space="preserve"> Institutions possessing community presence, national cadres, and cumulative expertise were the most capable of continuity and adaptation.</w:t>
      </w:r>
    </w:p>
    <w:p w14:paraId="1DD88A20" w14:textId="77777777" w:rsidR="000852E7" w:rsidRPr="000852E7" w:rsidRDefault="000852E7" w:rsidP="000852E7">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Institutional flexibility is as vital as financial resources:</w:t>
      </w:r>
      <w:r w:rsidRPr="000852E7">
        <w:rPr>
          <w:rFonts w:eastAsia="Times New Roman" w:cstheme="minorHAnsi"/>
          <w:sz w:val="24"/>
          <w:szCs w:val="24"/>
          <w:lang w:bidi="ar-PS"/>
        </w:rPr>
        <w:t xml:space="preserve"> The ability to reallocate personnel, shift services to alternative locations, and modify delivery models was crucial.</w:t>
      </w:r>
    </w:p>
    <w:p w14:paraId="1737ACCB" w14:textId="77777777" w:rsidR="000852E7" w:rsidRPr="000852E7" w:rsidRDefault="000852E7" w:rsidP="000852E7">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Integration among actors is paramount:</w:t>
      </w:r>
      <w:r w:rsidRPr="000852E7">
        <w:rPr>
          <w:rFonts w:eastAsia="Times New Roman" w:cstheme="minorHAnsi"/>
          <w:sz w:val="24"/>
          <w:szCs w:val="24"/>
          <w:lang w:bidi="ar-PS"/>
        </w:rPr>
        <w:t xml:space="preserve"> The presence of numerous institutions does not guarantee success without clear coordination, role-sharing, and exchange of information and resources.</w:t>
      </w:r>
    </w:p>
    <w:p w14:paraId="4DEC9FF1" w14:textId="77777777" w:rsidR="000852E7" w:rsidRPr="000852E7" w:rsidRDefault="000852E7" w:rsidP="000852E7">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Regional initiatives work best by enhancing national capacities:</w:t>
      </w:r>
      <w:r w:rsidRPr="000852E7">
        <w:rPr>
          <w:rFonts w:eastAsia="Times New Roman" w:cstheme="minorHAnsi"/>
          <w:sz w:val="24"/>
          <w:szCs w:val="24"/>
          <w:lang w:bidi="ar-PS"/>
        </w:rPr>
        <w:t xml:space="preserve"> Effective aid supports local institutions rather than creating parallel tracks that risk duplication or weakening local bodies.</w:t>
      </w:r>
    </w:p>
    <w:p w14:paraId="09C0C33C" w14:textId="77777777" w:rsidR="000852E7" w:rsidRPr="000852E7" w:rsidRDefault="000852E7" w:rsidP="000852E7">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Protection of health facilities and workers is non-negotiable:</w:t>
      </w:r>
      <w:r w:rsidRPr="000852E7">
        <w:rPr>
          <w:rFonts w:eastAsia="Times New Roman" w:cstheme="minorHAnsi"/>
          <w:sz w:val="24"/>
          <w:szCs w:val="24"/>
          <w:lang w:bidi="ar-PS"/>
        </w:rPr>
        <w:t xml:space="preserve"> Safeguarding hospitals and medical staff is a fundamental prerequisite for the continuity of care during armed conflicts.</w:t>
      </w:r>
    </w:p>
    <w:p w14:paraId="430E90BD"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Recommendations</w:t>
      </w:r>
    </w:p>
    <w:p w14:paraId="20D3887D"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First:</w:t>
      </w:r>
      <w:r w:rsidRPr="000852E7">
        <w:rPr>
          <w:rFonts w:eastAsia="Times New Roman" w:cstheme="minorHAnsi"/>
          <w:sz w:val="24"/>
          <w:szCs w:val="24"/>
          <w:lang w:bidi="ar-PS"/>
        </w:rPr>
        <w:t xml:space="preserve"> Enhance investment in national health institutions as the actors most capable of continuity and reaching local communities during crises.</w:t>
      </w:r>
    </w:p>
    <w:p w14:paraId="6E27F77A"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Second:</w:t>
      </w:r>
      <w:r w:rsidRPr="000852E7">
        <w:rPr>
          <w:rFonts w:eastAsia="Times New Roman" w:cstheme="minorHAnsi"/>
          <w:sz w:val="24"/>
          <w:szCs w:val="24"/>
          <w:lang w:bidi="ar-PS"/>
        </w:rPr>
        <w:t xml:space="preserve"> Develop sustainable institutional partnerships between governments, the civil sector, regional initiatives, and international organizations prior to crises.</w:t>
      </w:r>
    </w:p>
    <w:p w14:paraId="0E4DFBE2"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Third:</w:t>
      </w:r>
      <w:r w:rsidRPr="000852E7">
        <w:rPr>
          <w:rFonts w:eastAsia="Times New Roman" w:cstheme="minorHAnsi"/>
          <w:sz w:val="24"/>
          <w:szCs w:val="24"/>
          <w:lang w:bidi="ar-PS"/>
        </w:rPr>
        <w:t xml:space="preserve"> Redesign humanitarian funding mechanisms to be more flexible and responsive to changing field variables and priorities.</w:t>
      </w:r>
    </w:p>
    <w:p w14:paraId="60C4CA9E"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Fourth:</w:t>
      </w:r>
      <w:r w:rsidRPr="000852E7">
        <w:rPr>
          <w:rFonts w:eastAsia="Times New Roman" w:cstheme="minorHAnsi"/>
          <w:sz w:val="24"/>
          <w:szCs w:val="24"/>
          <w:lang w:bidi="ar-PS"/>
        </w:rPr>
        <w:t xml:space="preserve"> Strengthen integration among governmental, civil, and field hospitals within unified national response plans.</w:t>
      </w:r>
    </w:p>
    <w:p w14:paraId="789DEE1B"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Fifth:</w:t>
      </w:r>
      <w:r w:rsidRPr="000852E7">
        <w:rPr>
          <w:rFonts w:eastAsia="Times New Roman" w:cstheme="minorHAnsi"/>
          <w:sz w:val="24"/>
          <w:szCs w:val="24"/>
          <w:lang w:bidi="ar-PS"/>
        </w:rPr>
        <w:t xml:space="preserve"> Prioritize the rehabilitation of health infrastructure and human resource development as sustainable investments for future crisis preparedness.</w:t>
      </w:r>
    </w:p>
    <w:p w14:paraId="5DC4726D" w14:textId="77777777" w:rsidR="000852E7" w:rsidRPr="000852E7" w:rsidRDefault="000852E7" w:rsidP="000852E7">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b/>
          <w:bCs/>
          <w:sz w:val="24"/>
          <w:szCs w:val="24"/>
          <w:lang w:bidi="ar-PS"/>
        </w:rPr>
        <w:t>Finally:</w:t>
      </w:r>
      <w:r w:rsidRPr="000852E7">
        <w:rPr>
          <w:rFonts w:eastAsia="Times New Roman" w:cstheme="minorHAnsi"/>
          <w:sz w:val="24"/>
          <w:szCs w:val="24"/>
          <w:lang w:bidi="ar-PS"/>
        </w:rPr>
        <w:t xml:space="preserve"> Strengthen compliance with international humanitarian law, ensure the protection of health facilities and personnel, and secure unimpeded medical aid access.</w:t>
      </w:r>
    </w:p>
    <w:p w14:paraId="546699BC" w14:textId="77777777" w:rsidR="000852E7" w:rsidRPr="000852E7" w:rsidRDefault="000852E7" w:rsidP="000852E7">
      <w:pPr>
        <w:bidi w:val="0"/>
        <w:spacing w:before="100" w:beforeAutospacing="1" w:after="100" w:afterAutospacing="1" w:line="240" w:lineRule="auto"/>
        <w:jc w:val="both"/>
        <w:outlineLvl w:val="3"/>
        <w:rPr>
          <w:rFonts w:eastAsia="Times New Roman" w:cstheme="minorHAnsi"/>
          <w:b/>
          <w:bCs/>
          <w:sz w:val="24"/>
          <w:szCs w:val="24"/>
          <w:lang w:bidi="ar-PS"/>
        </w:rPr>
      </w:pPr>
      <w:r w:rsidRPr="000852E7">
        <w:rPr>
          <w:rFonts w:eastAsia="Times New Roman" w:cstheme="minorHAnsi"/>
          <w:b/>
          <w:bCs/>
          <w:sz w:val="24"/>
          <w:szCs w:val="24"/>
          <w:lang w:bidi="ar-PS"/>
        </w:rPr>
        <w:t>Conclusion</w:t>
      </w:r>
    </w:p>
    <w:p w14:paraId="7F24AED7"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Ladies and Gentlemen...</w:t>
      </w:r>
    </w:p>
    <w:p w14:paraId="3D545D60"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This paper has attempted to move beyond documenting what happened in the Gaza Strip, to offer an analytical reading of what can be learned from this experience.</w:t>
      </w:r>
    </w:p>
    <w:p w14:paraId="688EFBAC"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core message concluded by the study is that the resilience of the health system was not the result of abundant resources, but of the integration of roles among national institutions, regional initiatives, and international organizations, under national leadership and exceptional field efforts.</w:t>
      </w:r>
    </w:p>
    <w:p w14:paraId="5059E07B"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Palestinian health institutions have proven that long-term investment in building local capacities remains the true guarantee for the continuity of health services in times of crisis. Regional initiatives have similarly demonstrated that their impact is maximized when they support and enhance national capabilities rather than replace them.</w:t>
      </w:r>
    </w:p>
    <w:p w14:paraId="2305B736"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The Palestinian experience delivers a message extending far beyond the borders of Gaza: building more resilient health systems begins years before crises erupt through local investment, robust partnerships, and the unwavering protection of health workers and facilities.</w:t>
      </w:r>
    </w:p>
    <w:p w14:paraId="2D525501" w14:textId="77777777" w:rsidR="000852E7" w:rsidRPr="000852E7" w:rsidRDefault="000852E7" w:rsidP="000852E7">
      <w:pPr>
        <w:bidi w:val="0"/>
        <w:spacing w:before="100" w:beforeAutospacing="1" w:after="100" w:afterAutospacing="1" w:line="240" w:lineRule="auto"/>
        <w:jc w:val="both"/>
        <w:rPr>
          <w:rFonts w:eastAsia="Times New Roman" w:cstheme="minorHAnsi"/>
          <w:sz w:val="24"/>
          <w:szCs w:val="24"/>
          <w:lang w:bidi="ar-PS"/>
        </w:rPr>
      </w:pPr>
      <w:r w:rsidRPr="000852E7">
        <w:rPr>
          <w:rFonts w:eastAsia="Times New Roman" w:cstheme="minorHAnsi"/>
          <w:sz w:val="24"/>
          <w:szCs w:val="24"/>
          <w:lang w:bidi="ar-PS"/>
        </w:rPr>
        <w:t>Thank you, and peace, mercy, and blessings of Allah be upon you.</w:t>
      </w:r>
    </w:p>
    <w:p w14:paraId="4A20F574" w14:textId="77777777" w:rsidR="00DC2F68" w:rsidRPr="000852E7" w:rsidRDefault="000852E7" w:rsidP="000852E7">
      <w:pPr>
        <w:bidi w:val="0"/>
        <w:jc w:val="both"/>
        <w:rPr>
          <w:rFonts w:cstheme="minorHAnsi"/>
          <w:sz w:val="24"/>
          <w:szCs w:val="24"/>
          <w:lang w:bidi="ar-PS"/>
        </w:rPr>
      </w:pPr>
    </w:p>
    <w:sectPr w:rsidR="00DC2F68" w:rsidRPr="000852E7"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3592F"/>
    <w:multiLevelType w:val="multilevel"/>
    <w:tmpl w:val="668A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C1892"/>
    <w:multiLevelType w:val="multilevel"/>
    <w:tmpl w:val="87F68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755EB"/>
    <w:multiLevelType w:val="multilevel"/>
    <w:tmpl w:val="AC26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BE3FFC"/>
    <w:multiLevelType w:val="multilevel"/>
    <w:tmpl w:val="ACDA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7A6B61"/>
    <w:multiLevelType w:val="multilevel"/>
    <w:tmpl w:val="5A74A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C44454"/>
    <w:multiLevelType w:val="multilevel"/>
    <w:tmpl w:val="25E8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46"/>
    <w:rsid w:val="000852E7"/>
    <w:rsid w:val="00744346"/>
    <w:rsid w:val="00794B45"/>
    <w:rsid w:val="00896869"/>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28D5"/>
  <w15:chartTrackingRefBased/>
  <w15:docId w15:val="{A480ECD6-5001-48CF-A3EA-20F232FB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4">
    <w:name w:val="heading 4"/>
    <w:basedOn w:val="a"/>
    <w:link w:val="4Char"/>
    <w:uiPriority w:val="9"/>
    <w:qFormat/>
    <w:rsid w:val="000852E7"/>
    <w:pPr>
      <w:bidi w:val="0"/>
      <w:spacing w:before="100" w:beforeAutospacing="1" w:after="100" w:afterAutospacing="1" w:line="240" w:lineRule="auto"/>
      <w:outlineLvl w:val="3"/>
    </w:pPr>
    <w:rPr>
      <w:rFonts w:ascii="Times New Roman" w:eastAsia="Times New Roman" w:hAnsi="Times New Roman" w:cs="Times New Roman"/>
      <w:b/>
      <w:bCs/>
      <w:sz w:val="24"/>
      <w:szCs w:val="24"/>
      <w:lang w:bidi="ar-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عنوان 4 Char"/>
    <w:basedOn w:val="a0"/>
    <w:link w:val="4"/>
    <w:uiPriority w:val="9"/>
    <w:rsid w:val="000852E7"/>
    <w:rPr>
      <w:rFonts w:ascii="Times New Roman" w:eastAsia="Times New Roman" w:hAnsi="Times New Roman" w:cs="Times New Roman"/>
      <w:b/>
      <w:bCs/>
      <w:sz w:val="24"/>
      <w:szCs w:val="24"/>
      <w:lang w:bidi="ar-PS"/>
    </w:rPr>
  </w:style>
  <w:style w:type="paragraph" w:styleId="a3">
    <w:name w:val="Normal (Web)"/>
    <w:basedOn w:val="a"/>
    <w:uiPriority w:val="99"/>
    <w:semiHidden/>
    <w:unhideWhenUsed/>
    <w:rsid w:val="000852E7"/>
    <w:pPr>
      <w:bidi w:val="0"/>
      <w:spacing w:before="100" w:beforeAutospacing="1" w:after="100" w:afterAutospacing="1" w:line="240" w:lineRule="auto"/>
    </w:pPr>
    <w:rPr>
      <w:rFonts w:ascii="Times New Roman" w:eastAsia="Times New Roman" w:hAnsi="Times New Roman" w:cs="Times New Roman"/>
      <w:sz w:val="24"/>
      <w:szCs w:val="24"/>
      <w:lang w:bidi="ar-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2514</Words>
  <Characters>14335</Characters>
  <Application>Microsoft Office Word</Application>
  <DocSecurity>0</DocSecurity>
  <Lines>119</Lines>
  <Paragraphs>33</Paragraphs>
  <ScaleCrop>false</ScaleCrop>
  <Company/>
  <LinksUpToDate>false</LinksUpToDate>
  <CharactersWithSpaces>16816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2026-07-29T12:36:00Z</dcterms:created>
  <dcterms:modified xsi:type="dcterms:W3CDTF">2026-07-29T12:37:00Z</dcterms:modified>
</cp:coreProperties>
</file>