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1919E" w14:textId="77777777" w:rsidR="004408C9" w:rsidRPr="0053503F" w:rsidRDefault="004408C9" w:rsidP="004408C9">
      <w:pPr>
        <w:bidi/>
        <w:rPr>
          <w:rFonts w:asciiTheme="majorBidi" w:hAnsiTheme="majorBidi" w:cstheme="majorBidi" w:hint="cs"/>
          <w:b/>
          <w:bCs/>
          <w:rtl/>
        </w:rPr>
      </w:pPr>
    </w:p>
    <w:p w14:paraId="298175CD" w14:textId="6B0FCA50" w:rsidR="004408C9" w:rsidRPr="0053503F" w:rsidRDefault="004408C9" w:rsidP="004408C9">
      <w:pPr>
        <w:bidi/>
        <w:rPr>
          <w:rFonts w:asciiTheme="majorBidi" w:hAnsiTheme="majorBidi" w:cstheme="majorBidi"/>
          <w:b/>
          <w:bCs/>
          <w:rtl/>
        </w:rPr>
      </w:pPr>
      <w:r w:rsidRPr="0053503F">
        <w:rPr>
          <w:rFonts w:asciiTheme="majorBidi" w:hAnsiTheme="majorBidi" w:cstheme="majorBidi"/>
          <w:b/>
          <w:bCs/>
          <w:rtl/>
        </w:rPr>
        <w:t>إسهامات القطاع الأهلي والمبادرات الإقليمية في الاستجابة الإنسانية خلال العدوان على قطاع غزة: القدرات، التحديات، والدروس المستفادة</w:t>
      </w:r>
    </w:p>
    <w:p w14:paraId="643D5126" w14:textId="25AB6218" w:rsidR="004408C9" w:rsidRPr="0053503F" w:rsidRDefault="004408C9" w:rsidP="004408C9">
      <w:pPr>
        <w:bidi/>
        <w:rPr>
          <w:rFonts w:asciiTheme="majorBidi" w:hAnsiTheme="majorBidi" w:cstheme="majorBidi"/>
          <w:b/>
          <w:bCs/>
          <w:rtl/>
        </w:rPr>
      </w:pPr>
      <w:r w:rsidRPr="0053503F">
        <w:rPr>
          <w:rFonts w:asciiTheme="majorBidi" w:hAnsiTheme="majorBidi" w:cstheme="majorBidi"/>
          <w:b/>
          <w:bCs/>
          <w:rtl/>
        </w:rPr>
        <w:t>د. بسام زقوت</w:t>
      </w:r>
    </w:p>
    <w:p w14:paraId="180331DE" w14:textId="6F61DB36" w:rsidR="004408C9" w:rsidRPr="0053503F" w:rsidRDefault="004408C9" w:rsidP="004408C9">
      <w:pPr>
        <w:bidi/>
        <w:rPr>
          <w:rFonts w:asciiTheme="majorBidi" w:hAnsiTheme="majorBidi" w:cstheme="majorBidi"/>
          <w:b/>
          <w:bCs/>
          <w:rtl/>
        </w:rPr>
      </w:pPr>
      <w:r w:rsidRPr="0053503F">
        <w:rPr>
          <w:rFonts w:asciiTheme="majorBidi" w:hAnsiTheme="majorBidi" w:cstheme="majorBidi"/>
          <w:b/>
          <w:bCs/>
          <w:rtl/>
        </w:rPr>
        <w:t>مدير جمعية ال</w:t>
      </w:r>
      <w:r w:rsidR="0053503F">
        <w:rPr>
          <w:rFonts w:asciiTheme="majorBidi" w:hAnsiTheme="majorBidi" w:cstheme="majorBidi" w:hint="cs"/>
          <w:b/>
          <w:bCs/>
          <w:rtl/>
        </w:rPr>
        <w:t>إ</w:t>
      </w:r>
      <w:r w:rsidRPr="0053503F">
        <w:rPr>
          <w:rFonts w:asciiTheme="majorBidi" w:hAnsiTheme="majorBidi" w:cstheme="majorBidi"/>
          <w:b/>
          <w:bCs/>
          <w:rtl/>
        </w:rPr>
        <w:t>غاثة الطبية الفلسطينية</w:t>
      </w:r>
    </w:p>
    <w:p w14:paraId="1DD6B12E" w14:textId="77777777" w:rsidR="004408C9" w:rsidRPr="0053503F" w:rsidRDefault="004408C9" w:rsidP="004408C9">
      <w:pPr>
        <w:bidi/>
        <w:rPr>
          <w:rFonts w:asciiTheme="majorBidi" w:hAnsiTheme="majorBidi" w:cstheme="majorBidi"/>
          <w:b/>
          <w:bCs/>
          <w:rtl/>
        </w:rPr>
      </w:pPr>
    </w:p>
    <w:p w14:paraId="578A2DE7" w14:textId="77777777" w:rsidR="004408C9" w:rsidRPr="0053503F" w:rsidRDefault="004408C9" w:rsidP="004408C9">
      <w:pPr>
        <w:bidi/>
        <w:rPr>
          <w:rFonts w:asciiTheme="majorBidi" w:hAnsiTheme="majorBidi" w:cstheme="majorBidi"/>
          <w:b/>
          <w:bCs/>
          <w:rtl/>
        </w:rPr>
      </w:pPr>
    </w:p>
    <w:p w14:paraId="46C2DDD9" w14:textId="28C40932" w:rsidR="004408C9" w:rsidRPr="0053503F" w:rsidRDefault="004408C9" w:rsidP="004408C9">
      <w:pPr>
        <w:bidi/>
        <w:rPr>
          <w:rFonts w:asciiTheme="majorBidi" w:hAnsiTheme="majorBidi" w:cstheme="majorBidi"/>
          <w:b/>
          <w:bCs/>
        </w:rPr>
      </w:pPr>
      <w:r w:rsidRPr="0053503F">
        <w:rPr>
          <w:rFonts w:asciiTheme="majorBidi" w:hAnsiTheme="majorBidi" w:cstheme="majorBidi"/>
          <w:b/>
          <w:bCs/>
          <w:rtl/>
        </w:rPr>
        <w:t>الجزء الأول: الافتتاحية والمقدمة</w:t>
      </w:r>
    </w:p>
    <w:p w14:paraId="3CC5B6BB"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السيدات والسادة</w:t>
      </w:r>
      <w:r w:rsidRPr="0053503F">
        <w:rPr>
          <w:rFonts w:asciiTheme="majorBidi" w:hAnsiTheme="majorBidi" w:cstheme="majorBidi"/>
        </w:rPr>
        <w:t>...</w:t>
      </w:r>
      <w:r w:rsidRPr="0053503F">
        <w:rPr>
          <w:rFonts w:asciiTheme="majorBidi" w:hAnsiTheme="majorBidi" w:cstheme="majorBidi"/>
        </w:rPr>
        <w:br/>
      </w:r>
      <w:r w:rsidRPr="0053503F">
        <w:rPr>
          <w:rFonts w:asciiTheme="majorBidi" w:hAnsiTheme="majorBidi" w:cstheme="majorBidi"/>
          <w:rtl/>
        </w:rPr>
        <w:t>الحضور الكريم</w:t>
      </w:r>
      <w:r w:rsidRPr="0053503F">
        <w:rPr>
          <w:rFonts w:asciiTheme="majorBidi" w:hAnsiTheme="majorBidi" w:cstheme="majorBidi"/>
        </w:rPr>
        <w:t>...</w:t>
      </w:r>
    </w:p>
    <w:p w14:paraId="0800092A"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السلام عليكم ورحمة الله وبركاته،</w:t>
      </w:r>
    </w:p>
    <w:p w14:paraId="046C52F3"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 xml:space="preserve">يسعدني أن أشارككم اليوم هذه الورقة التي تحمل عنوان </w:t>
      </w:r>
      <w:r w:rsidRPr="0053503F">
        <w:rPr>
          <w:rFonts w:asciiTheme="majorBidi" w:hAnsiTheme="majorBidi" w:cstheme="majorBidi"/>
          <w:b/>
          <w:bCs/>
        </w:rPr>
        <w:t>"</w:t>
      </w:r>
      <w:r w:rsidRPr="0053503F">
        <w:rPr>
          <w:rFonts w:asciiTheme="majorBidi" w:hAnsiTheme="majorBidi" w:cstheme="majorBidi"/>
          <w:b/>
          <w:bCs/>
          <w:rtl/>
        </w:rPr>
        <w:t>إسهامات القطاع الأهلي والمبادرات الإقليمية في الاستجابة الإنسانية خلال العدوان على قطاع غزة: القدرات، التحديات، والدروس المستفادة</w:t>
      </w:r>
      <w:r w:rsidRPr="0053503F">
        <w:rPr>
          <w:rFonts w:asciiTheme="majorBidi" w:hAnsiTheme="majorBidi" w:cstheme="majorBidi"/>
          <w:b/>
          <w:bCs/>
        </w:rPr>
        <w:t>."</w:t>
      </w:r>
    </w:p>
    <w:p w14:paraId="4AB6DAB7" w14:textId="0239F39B" w:rsidR="004408C9" w:rsidRPr="0053503F" w:rsidRDefault="004408C9" w:rsidP="004408C9">
      <w:pPr>
        <w:bidi/>
        <w:rPr>
          <w:rFonts w:asciiTheme="majorBidi" w:hAnsiTheme="majorBidi" w:cstheme="majorBidi"/>
        </w:rPr>
      </w:pPr>
      <w:r w:rsidRPr="0053503F">
        <w:rPr>
          <w:rFonts w:asciiTheme="majorBidi" w:hAnsiTheme="majorBidi" w:cstheme="majorBidi"/>
          <w:rtl/>
        </w:rPr>
        <w:t>لقد شكلت الحرب على قطاع غزة واحدة من أعقد الأزمات الإنسانية والصحية في العصر الحديث، ليس فقط بسبب حجم الدمار الذي طال السكان والبنية التحتية، وإنما لأنها وضعت النظام الصحي أمام اختبار غير مسبوق لقدراته على الاستمرار في ظل ظروف تكاد تكون مستحيلة. فقد تزامن الاستهداف الواسع للمرافق الصحية مع نقص حاد في الأدوية والمستلزمات الطبية والوقود، وانهيار شبكات الكهرباء والاتصالات، واستمرار موجات النزوح، إلى جانب فقدان أعداد كبيرة من الكوادر الصحية بين شهيد وجريح ونازح</w:t>
      </w:r>
      <w:r w:rsidRPr="0053503F">
        <w:rPr>
          <w:rFonts w:asciiTheme="majorBidi" w:hAnsiTheme="majorBidi" w:cstheme="majorBidi"/>
        </w:rPr>
        <w:t>.</w:t>
      </w:r>
    </w:p>
    <w:p w14:paraId="63F17F49" w14:textId="53189581" w:rsidR="004408C9" w:rsidRPr="0053503F" w:rsidRDefault="004408C9" w:rsidP="004408C9">
      <w:pPr>
        <w:bidi/>
        <w:rPr>
          <w:rFonts w:asciiTheme="majorBidi" w:hAnsiTheme="majorBidi" w:cstheme="majorBidi"/>
        </w:rPr>
      </w:pPr>
      <w:r w:rsidRPr="0053503F">
        <w:rPr>
          <w:rFonts w:asciiTheme="majorBidi" w:hAnsiTheme="majorBidi" w:cstheme="majorBidi"/>
          <w:rtl/>
        </w:rPr>
        <w:t>وفي مثل هذه الظروف، كان من المتوقع أن يتوقف النظام الصحي عن العمل بصورة كاملة. لكن ما حدث على أرض الواقع كان مختلفا؛ إذ استمرت خدمات صحية أساسية في الوصول إلى السكان، وإن بقدرات محدودة، واستمرت عمليات الطوارئ، والرعاية الأولية، وخدمات الأمومة، وعلاج الأمراض المزمنة، والدعم النفسي، والإحالات المنقذة للحياة، رغم كل ما واجهته من تحديات</w:t>
      </w:r>
      <w:r w:rsidRPr="0053503F">
        <w:rPr>
          <w:rFonts w:asciiTheme="majorBidi" w:hAnsiTheme="majorBidi" w:cstheme="majorBidi"/>
        </w:rPr>
        <w:t>.</w:t>
      </w:r>
    </w:p>
    <w:p w14:paraId="42AD076F"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ومن هنا تنطلق هذه الورقة من سؤال رئيسي</w:t>
      </w:r>
      <w:r w:rsidRPr="0053503F">
        <w:rPr>
          <w:rFonts w:asciiTheme="majorBidi" w:hAnsiTheme="majorBidi" w:cstheme="majorBidi"/>
        </w:rPr>
        <w:t>:</w:t>
      </w:r>
    </w:p>
    <w:p w14:paraId="03030718" w14:textId="77777777" w:rsidR="004408C9" w:rsidRPr="0053503F" w:rsidRDefault="004408C9" w:rsidP="004408C9">
      <w:pPr>
        <w:bidi/>
        <w:rPr>
          <w:rFonts w:asciiTheme="majorBidi" w:hAnsiTheme="majorBidi" w:cstheme="majorBidi"/>
        </w:rPr>
      </w:pPr>
      <w:r w:rsidRPr="0053503F">
        <w:rPr>
          <w:rFonts w:asciiTheme="majorBidi" w:hAnsiTheme="majorBidi" w:cstheme="majorBidi"/>
          <w:b/>
          <w:bCs/>
          <w:rtl/>
        </w:rPr>
        <w:t>كيف تمكن النظام الصحي في قطاع غزة من الحفاظ على الحد الأدنى من الخدمات الصحية في ظل هذا المستوى غير المسبوق من الدمار؟</w:t>
      </w:r>
    </w:p>
    <w:p w14:paraId="2633C810" w14:textId="3F596A64" w:rsidR="004408C9" w:rsidRPr="0053503F" w:rsidRDefault="004408C9" w:rsidP="004408C9">
      <w:pPr>
        <w:bidi/>
        <w:rPr>
          <w:rFonts w:asciiTheme="majorBidi" w:hAnsiTheme="majorBidi" w:cstheme="majorBidi"/>
        </w:rPr>
      </w:pPr>
      <w:r w:rsidRPr="0053503F">
        <w:rPr>
          <w:rFonts w:asciiTheme="majorBidi" w:hAnsiTheme="majorBidi" w:cstheme="majorBidi"/>
          <w:rtl/>
        </w:rPr>
        <w:t xml:space="preserve">إن استمرارية الخدمات الصحية لم تكن نتيجة جهود جهة واحدة، وإنما جاءت ثمرة </w:t>
      </w:r>
      <w:r w:rsidRPr="0053503F">
        <w:rPr>
          <w:rFonts w:asciiTheme="majorBidi" w:hAnsiTheme="majorBidi" w:cstheme="majorBidi"/>
          <w:b/>
          <w:bCs/>
          <w:rtl/>
        </w:rPr>
        <w:t>تكامل بين وزارة الصحة الفلسطينية، والمؤسسات الصحية الأهلية، والمبادرات الإقليمية، والمنظمات الدولية</w:t>
      </w:r>
      <w:r w:rsidRPr="0053503F">
        <w:rPr>
          <w:rFonts w:asciiTheme="majorBidi" w:hAnsiTheme="majorBidi" w:cstheme="majorBidi"/>
          <w:rtl/>
        </w:rPr>
        <w:t>، حيث أدى كل طرف دورا مختلفا ومتكاملا ضمن منظومة استجابة واحدة</w:t>
      </w:r>
      <w:r w:rsidRPr="0053503F">
        <w:rPr>
          <w:rFonts w:asciiTheme="majorBidi" w:hAnsiTheme="majorBidi" w:cstheme="majorBidi"/>
        </w:rPr>
        <w:t>.</w:t>
      </w:r>
    </w:p>
    <w:p w14:paraId="2B8EC4F7"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 xml:space="preserve">ولا تهدف هذه الورقة إلى توثيق حجم الكارثة الإنسانية فحسب، فهذه الحقيقة أصبحت موثقة في عشرات التقارير الدولية، وإنما تسعى إلى تحليل </w:t>
      </w:r>
      <w:r w:rsidRPr="0053503F">
        <w:rPr>
          <w:rFonts w:asciiTheme="majorBidi" w:hAnsiTheme="majorBidi" w:cstheme="majorBidi"/>
          <w:b/>
          <w:bCs/>
          <w:rtl/>
        </w:rPr>
        <w:t>آليات الصمود المؤسسي</w:t>
      </w:r>
      <w:r w:rsidRPr="0053503F">
        <w:rPr>
          <w:rFonts w:asciiTheme="majorBidi" w:hAnsiTheme="majorBidi" w:cstheme="majorBidi"/>
          <w:rtl/>
        </w:rPr>
        <w:t xml:space="preserve"> التي مكنت النظام الصحي من الاستمرار، واستخلاص الدروس التي يمكن الإفادة منها في بناء نظم صحية أكثر قدرة على مواجهة الأزمات الممتدة</w:t>
      </w:r>
      <w:r w:rsidRPr="0053503F">
        <w:rPr>
          <w:rFonts w:asciiTheme="majorBidi" w:hAnsiTheme="majorBidi" w:cstheme="majorBidi"/>
        </w:rPr>
        <w:t>.</w:t>
      </w:r>
    </w:p>
    <w:p w14:paraId="1F26F639"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lastRenderedPageBreak/>
        <w:t>إن أهمية هذه الدراسة لا تقتصر على الحالة الفلسطينية، بل تمتد إلى النقاش العالمي حول مستقبل الاستجابة الصحية في البيئات المتأثرة بالنزاعات، وحول الدور الذي يمكن أن تؤديه المؤسسات الوطنية والمبادرات الإقليمية في الحفاظ على الخدمات الأساسية عندما تتعرض النظم الصحية التقليدية لضغوط استثنائية</w:t>
      </w:r>
      <w:r w:rsidRPr="0053503F">
        <w:rPr>
          <w:rFonts w:asciiTheme="majorBidi" w:hAnsiTheme="majorBidi" w:cstheme="majorBidi"/>
        </w:rPr>
        <w:t>.</w:t>
      </w:r>
    </w:p>
    <w:p w14:paraId="13FD171E" w14:textId="77777777" w:rsidR="004408C9" w:rsidRPr="0053503F" w:rsidRDefault="004408C9" w:rsidP="004408C9">
      <w:pPr>
        <w:bidi/>
        <w:rPr>
          <w:rFonts w:asciiTheme="majorBidi" w:hAnsiTheme="majorBidi" w:cstheme="majorBidi"/>
          <w:rtl/>
        </w:rPr>
      </w:pPr>
    </w:p>
    <w:p w14:paraId="562B5B22" w14:textId="77777777" w:rsidR="004408C9" w:rsidRPr="0053503F" w:rsidRDefault="004408C9" w:rsidP="004408C9">
      <w:pPr>
        <w:bidi/>
        <w:rPr>
          <w:rFonts w:asciiTheme="majorBidi" w:hAnsiTheme="majorBidi" w:cstheme="majorBidi"/>
          <w:b/>
          <w:bCs/>
        </w:rPr>
      </w:pPr>
      <w:r w:rsidRPr="0053503F">
        <w:rPr>
          <w:rFonts w:asciiTheme="majorBidi" w:hAnsiTheme="majorBidi" w:cstheme="majorBidi"/>
          <w:b/>
          <w:bCs/>
          <w:rtl/>
        </w:rPr>
        <w:t>أثر العدوان على النظام الصحي</w:t>
      </w:r>
    </w:p>
    <w:p w14:paraId="2D05E0B6" w14:textId="6E7E824F" w:rsidR="004408C9" w:rsidRPr="0053503F" w:rsidRDefault="004408C9" w:rsidP="004408C9">
      <w:pPr>
        <w:bidi/>
        <w:rPr>
          <w:rFonts w:asciiTheme="majorBidi" w:hAnsiTheme="majorBidi" w:cstheme="majorBidi"/>
        </w:rPr>
      </w:pPr>
      <w:r w:rsidRPr="0053503F">
        <w:rPr>
          <w:rFonts w:asciiTheme="majorBidi" w:hAnsiTheme="majorBidi" w:cstheme="majorBidi"/>
          <w:rtl/>
        </w:rPr>
        <w:t>على مدار أشهر الحرب، لم يكن القطاع الصحي يواجه تحديا واحدا، بل مجموعة من الأزمات المتزامنة. فقد تعرضت المستشفيات والمراكز الصحية للاستهداف المباشر أو لأضرار جسيمة، وتوقفت العديد منها عن العمل نتيجة القصف أو أوامر الإخلاء أو انعدام الوقود والإمدادات الطبية. وفي الوقت نفسه، ارتفع الطلب على الخدمات الصحية إلى مستويات غير مسبوقة نتيجة الأعداد الكبيرة من الإصابات، وتدهور الظروف المعيشية، وانتشار الأمراض المعدية، وتعطل خدمات الرعاية الوقائية</w:t>
      </w:r>
      <w:r w:rsidRPr="0053503F">
        <w:rPr>
          <w:rFonts w:asciiTheme="majorBidi" w:hAnsiTheme="majorBidi" w:cstheme="majorBidi"/>
        </w:rPr>
        <w:t>.</w:t>
      </w:r>
    </w:p>
    <w:p w14:paraId="558A716B" w14:textId="2362B494" w:rsidR="004408C9" w:rsidRPr="0053503F" w:rsidRDefault="004408C9" w:rsidP="004408C9">
      <w:pPr>
        <w:bidi/>
        <w:rPr>
          <w:rFonts w:asciiTheme="majorBidi" w:hAnsiTheme="majorBidi" w:cstheme="majorBidi"/>
        </w:rPr>
      </w:pPr>
      <w:r w:rsidRPr="0053503F">
        <w:rPr>
          <w:rFonts w:asciiTheme="majorBidi" w:hAnsiTheme="majorBidi" w:cstheme="majorBidi"/>
          <w:rtl/>
        </w:rPr>
        <w:t>ولم تقتصر الأزمة على البنية التحتية، بل امتدت إلى العنصر البشري. فقد خسر القطاع الصحي عددا كبيرا من كوادره بين شهيد وجريح، بينما اضطر آخرون إلى النزوح أو العمل في ظروف بالغة الخطورة ولساعات طويلة دون انقطاع. كما أدى الانقطاع المتكرر للكهرباء والاتصالات، ونقص الوقود، وتعطل سلاسل الإمداد، إلى إضعاف القدرة التشغيلية للمرافق الصحية المتبقية</w:t>
      </w:r>
      <w:r w:rsidRPr="0053503F">
        <w:rPr>
          <w:rFonts w:asciiTheme="majorBidi" w:hAnsiTheme="majorBidi" w:cstheme="majorBidi"/>
        </w:rPr>
        <w:t>.</w:t>
      </w:r>
    </w:p>
    <w:p w14:paraId="3B2E04C4" w14:textId="19CCF334" w:rsidR="004408C9" w:rsidRPr="0053503F" w:rsidRDefault="004408C9" w:rsidP="004408C9">
      <w:pPr>
        <w:bidi/>
        <w:rPr>
          <w:rFonts w:asciiTheme="majorBidi" w:hAnsiTheme="majorBidi" w:cstheme="majorBidi"/>
        </w:rPr>
      </w:pPr>
      <w:r w:rsidRPr="0053503F">
        <w:rPr>
          <w:rFonts w:asciiTheme="majorBidi" w:hAnsiTheme="majorBidi" w:cstheme="majorBidi"/>
          <w:rtl/>
        </w:rPr>
        <w:t>ورغم هذه الظروف، فإن ما يلفت الانتباه هو أن النظام الصحي لم يشهد انهيارا كاملا. فقد استمرت مستشفيات حكومية وأهلية وميدانية في تقديم خدماتها، وإن بدرجات متفاوتة من الجاهزية، كما واصلت عشرات مراكز الرعاية الصحية الأولية والعيادات المتنقلة تقديم الخدمات الأساسية في مختلف أنحاء القطاع</w:t>
      </w:r>
      <w:r w:rsidRPr="0053503F">
        <w:rPr>
          <w:rFonts w:asciiTheme="majorBidi" w:hAnsiTheme="majorBidi" w:cstheme="majorBidi"/>
        </w:rPr>
        <w:t>.</w:t>
      </w:r>
    </w:p>
    <w:p w14:paraId="6F79A672"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وهنا يبرز سؤال مهم</w:t>
      </w:r>
      <w:r w:rsidRPr="0053503F">
        <w:rPr>
          <w:rFonts w:asciiTheme="majorBidi" w:hAnsiTheme="majorBidi" w:cstheme="majorBidi"/>
        </w:rPr>
        <w:t xml:space="preserve">: </w:t>
      </w:r>
      <w:r w:rsidRPr="0053503F">
        <w:rPr>
          <w:rFonts w:asciiTheme="majorBidi" w:hAnsiTheme="majorBidi" w:cstheme="majorBidi"/>
          <w:b/>
          <w:bCs/>
          <w:rtl/>
        </w:rPr>
        <w:t>ما الذي حال دون الانهيار الكامل للنظام الصحي؟</w:t>
      </w:r>
    </w:p>
    <w:p w14:paraId="28F35C0D" w14:textId="01BFBCC2" w:rsidR="004408C9" w:rsidRPr="0053503F" w:rsidRDefault="004408C9" w:rsidP="004408C9">
      <w:pPr>
        <w:bidi/>
        <w:rPr>
          <w:rFonts w:asciiTheme="majorBidi" w:hAnsiTheme="majorBidi" w:cstheme="majorBidi"/>
        </w:rPr>
      </w:pPr>
      <w:r w:rsidRPr="0053503F">
        <w:rPr>
          <w:rFonts w:asciiTheme="majorBidi" w:hAnsiTheme="majorBidi" w:cstheme="majorBidi"/>
          <w:rtl/>
        </w:rPr>
        <w:t>أن استمرارية الخدمات لم تكن نتيجة بقاء بعض المرافق الصحة فحسب، وإنما كانت نتيجة شبكة معقدة من التعاون بين مؤسسات وطنية تمتلك الخبرة والوجود الميداني، ومبادرات إقليمية وفرت موارد تشغيلية، ومنظمات دولية تولت التنسيق والدعم الفني والتمويلي. لقد تشكلت، بصورة عملية، منظومة استجابة تكاملية استطاعت أن تحافظ على الحد الأدنى من الخدمات الصحية رغم التدهور المستمر في البيئة التشغيلية</w:t>
      </w:r>
      <w:r w:rsidRPr="0053503F">
        <w:rPr>
          <w:rFonts w:asciiTheme="majorBidi" w:hAnsiTheme="majorBidi" w:cstheme="majorBidi"/>
        </w:rPr>
        <w:t>.</w:t>
      </w:r>
    </w:p>
    <w:p w14:paraId="1B1F2349" w14:textId="33B92236" w:rsidR="004408C9" w:rsidRPr="0053503F" w:rsidRDefault="004408C9" w:rsidP="004408C9">
      <w:pPr>
        <w:bidi/>
        <w:rPr>
          <w:rFonts w:asciiTheme="majorBidi" w:hAnsiTheme="majorBidi" w:cstheme="majorBidi"/>
        </w:rPr>
      </w:pPr>
      <w:r w:rsidRPr="0053503F">
        <w:rPr>
          <w:rFonts w:asciiTheme="majorBidi" w:hAnsiTheme="majorBidi" w:cstheme="majorBidi"/>
          <w:rtl/>
        </w:rPr>
        <w:t>ومن هنا يصبح الحديث عن القطاع الأهلي والمبادرات الإقليمية ليس حديثا عن جهات قدمت مساعدات إضافية، وإنما عن شركاء أساسيين في الحفاظ على وظائف النظام الصحي واستمرارية عمله</w:t>
      </w:r>
      <w:r w:rsidRPr="0053503F">
        <w:rPr>
          <w:rFonts w:asciiTheme="majorBidi" w:hAnsiTheme="majorBidi" w:cstheme="majorBidi"/>
        </w:rPr>
        <w:t>.</w:t>
      </w:r>
    </w:p>
    <w:p w14:paraId="149962B7" w14:textId="60625340" w:rsidR="004408C9" w:rsidRPr="0053503F" w:rsidRDefault="004408C9" w:rsidP="004408C9">
      <w:pPr>
        <w:bidi/>
        <w:rPr>
          <w:rFonts w:asciiTheme="majorBidi" w:hAnsiTheme="majorBidi" w:cstheme="majorBidi"/>
        </w:rPr>
      </w:pPr>
    </w:p>
    <w:p w14:paraId="5B6CCCFD" w14:textId="77777777" w:rsidR="004408C9" w:rsidRPr="0053503F" w:rsidRDefault="004408C9" w:rsidP="004408C9">
      <w:pPr>
        <w:bidi/>
        <w:rPr>
          <w:rFonts w:asciiTheme="majorBidi" w:hAnsiTheme="majorBidi" w:cstheme="majorBidi"/>
          <w:b/>
          <w:bCs/>
        </w:rPr>
      </w:pPr>
      <w:r w:rsidRPr="0053503F">
        <w:rPr>
          <w:rFonts w:asciiTheme="majorBidi" w:hAnsiTheme="majorBidi" w:cstheme="majorBidi"/>
          <w:b/>
          <w:bCs/>
          <w:rtl/>
        </w:rPr>
        <w:t>إسهامات القطاع الأهلي في الاستجابة الإنسانية</w:t>
      </w:r>
    </w:p>
    <w:p w14:paraId="7800DCD3"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لقد أثبتت تجربة غزة أن القطاع الأهلي لم يكن مجرد جهة منفذة لمشروعات إنسانية، بل كان أحد الأعمدة الرئيسة التي استندت إليها الاستجابة الصحية طوال فترة الحرب</w:t>
      </w:r>
      <w:r w:rsidRPr="0053503F">
        <w:rPr>
          <w:rFonts w:asciiTheme="majorBidi" w:hAnsiTheme="majorBidi" w:cstheme="majorBidi"/>
        </w:rPr>
        <w:t>.</w:t>
      </w:r>
    </w:p>
    <w:p w14:paraId="54247F77"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ويرجع ذلك إلى أن المؤسسات الصحية الأهلية كانت موجودة قبل الأزمة بسنوات طويلة، وتمتلك مراكز صحية ومستشفيات وكوادر وطنية وشبكات مجتمعية وعلاقات راسخة مع السكان. هذه المقومات منحتها قدرة عالية على التكيف مع المتغيرات الميدانية، والاستمرار في العمل حتى عندما خرجت بعض المرافق عن الخدمة</w:t>
      </w:r>
      <w:r w:rsidRPr="0053503F">
        <w:rPr>
          <w:rFonts w:asciiTheme="majorBidi" w:hAnsiTheme="majorBidi" w:cstheme="majorBidi"/>
        </w:rPr>
        <w:t>.</w:t>
      </w:r>
    </w:p>
    <w:p w14:paraId="173AD8F7"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وكانت مساهمة القطاع الأهلي متعددة المستويات</w:t>
      </w:r>
      <w:r w:rsidRPr="0053503F">
        <w:rPr>
          <w:rFonts w:asciiTheme="majorBidi" w:hAnsiTheme="majorBidi" w:cstheme="majorBidi"/>
        </w:rPr>
        <w:t>.</w:t>
      </w:r>
    </w:p>
    <w:p w14:paraId="47A24250" w14:textId="13D7EBCE" w:rsidR="004408C9" w:rsidRPr="0053503F" w:rsidRDefault="004408C9" w:rsidP="004408C9">
      <w:pPr>
        <w:bidi/>
        <w:rPr>
          <w:rFonts w:asciiTheme="majorBidi" w:hAnsiTheme="majorBidi" w:cstheme="majorBidi"/>
        </w:rPr>
      </w:pPr>
      <w:r w:rsidRPr="0053503F">
        <w:rPr>
          <w:rFonts w:asciiTheme="majorBidi" w:hAnsiTheme="majorBidi" w:cstheme="majorBidi"/>
          <w:rtl/>
        </w:rPr>
        <w:t xml:space="preserve">فعلى مستوى </w:t>
      </w:r>
      <w:r w:rsidRPr="0053503F">
        <w:rPr>
          <w:rFonts w:asciiTheme="majorBidi" w:hAnsiTheme="majorBidi" w:cstheme="majorBidi"/>
          <w:b/>
          <w:bCs/>
          <w:rtl/>
        </w:rPr>
        <w:t>المستشفيات</w:t>
      </w:r>
      <w:r w:rsidRPr="0053503F">
        <w:rPr>
          <w:rFonts w:asciiTheme="majorBidi" w:hAnsiTheme="majorBidi" w:cstheme="majorBidi"/>
          <w:rtl/>
        </w:rPr>
        <w:t>، واصلت المستشفيات الأهلية تقديم خدمات الطوارئ والجراحة والولادة والعناية المركزة، واستقبلت أعدادا كبيرة من الجرحى والمرضى، وأسهمت في تخفيف الضغط عن المستشفيات الحكومية التي تعرضت لضغط غير مسبوق. كما شاركت في شبكة الإحالات الصحية، وساهمت في استمرار عدد من الخدمات التخصصية التي كان من الممكن أن تتوقف بالكامل لولا استمرار عملها</w:t>
      </w:r>
      <w:r w:rsidRPr="0053503F">
        <w:rPr>
          <w:rFonts w:asciiTheme="majorBidi" w:hAnsiTheme="majorBidi" w:cstheme="majorBidi"/>
        </w:rPr>
        <w:t>.</w:t>
      </w:r>
    </w:p>
    <w:p w14:paraId="36D6D4F3"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 xml:space="preserve">أما على مستوى </w:t>
      </w:r>
      <w:r w:rsidRPr="0053503F">
        <w:rPr>
          <w:rFonts w:asciiTheme="majorBidi" w:hAnsiTheme="majorBidi" w:cstheme="majorBidi"/>
          <w:b/>
          <w:bCs/>
          <w:rtl/>
        </w:rPr>
        <w:t>الرعاية الصحية الأولية</w:t>
      </w:r>
      <w:r w:rsidRPr="0053503F">
        <w:rPr>
          <w:rFonts w:asciiTheme="majorBidi" w:hAnsiTheme="majorBidi" w:cstheme="majorBidi"/>
          <w:rtl/>
        </w:rPr>
        <w:t>، فقد حافظت المؤسسات الأهلية على تشغيل عشرات المراكز الصحية والنقاط الطبية والعيادات المتنقلة، وقدمت ملايين الخدمات الصحية، شملت علاج الأمراض الحادة، ومتابعة الأمراض المزمنة، ورعاية الأم والطفل، والتطعيم، والصحة الإنجابية، والدعم النفسي، والتغذية، وخدمات التأهيل</w:t>
      </w:r>
      <w:r w:rsidRPr="0053503F">
        <w:rPr>
          <w:rFonts w:asciiTheme="majorBidi" w:hAnsiTheme="majorBidi" w:cstheme="majorBidi"/>
        </w:rPr>
        <w:t>.</w:t>
      </w:r>
    </w:p>
    <w:p w14:paraId="6AB4389B" w14:textId="5D7DECAA" w:rsidR="004408C9" w:rsidRPr="0053503F" w:rsidRDefault="004408C9" w:rsidP="004408C9">
      <w:pPr>
        <w:bidi/>
        <w:rPr>
          <w:rFonts w:asciiTheme="majorBidi" w:hAnsiTheme="majorBidi" w:cstheme="majorBidi"/>
        </w:rPr>
      </w:pPr>
      <w:r w:rsidRPr="0053503F">
        <w:rPr>
          <w:rFonts w:asciiTheme="majorBidi" w:hAnsiTheme="majorBidi" w:cstheme="majorBidi"/>
          <w:rtl/>
        </w:rPr>
        <w:t>كما لعبت العيادات المتنقلة دورا بالغ الأهمية في الوصول إلى السكان في مناطق النزوح والمناطق التي تعذر الوصول إليها، وهو ما ساعد في تقليل الفجوة الناتجة عن توقف بعض المرافق الصحية الثابتة</w:t>
      </w:r>
      <w:r w:rsidRPr="0053503F">
        <w:rPr>
          <w:rFonts w:asciiTheme="majorBidi" w:hAnsiTheme="majorBidi" w:cstheme="majorBidi"/>
        </w:rPr>
        <w:t>.</w:t>
      </w:r>
    </w:p>
    <w:p w14:paraId="2CF0C7BD" w14:textId="77777777" w:rsidR="004408C9" w:rsidRPr="0053503F" w:rsidRDefault="004408C9" w:rsidP="004408C9">
      <w:pPr>
        <w:bidi/>
        <w:rPr>
          <w:rFonts w:asciiTheme="majorBidi" w:hAnsiTheme="majorBidi" w:cstheme="majorBidi"/>
          <w:rtl/>
        </w:rPr>
      </w:pPr>
      <w:r w:rsidRPr="0053503F">
        <w:rPr>
          <w:rFonts w:asciiTheme="majorBidi" w:hAnsiTheme="majorBidi" w:cstheme="majorBidi"/>
          <w:rtl/>
        </w:rPr>
        <w:t>ولم يقتصر دور القطاع الأهلي على تقديم الخدمات العلاجية، بل امتد إلى التوعية الصحية، وإدارة حملات الوقاية، والدعم النفسي والاجتماعي، وإدارة الحالات، والإحالة، وتوزيع الأدوية والمساعدات الصحية، الأمر الذي جعله شريكًا رئيسيًا في الاستجابة الإنسانية الشاملة</w:t>
      </w:r>
      <w:r w:rsidRPr="0053503F">
        <w:rPr>
          <w:rFonts w:asciiTheme="majorBidi" w:hAnsiTheme="majorBidi" w:cstheme="majorBidi"/>
        </w:rPr>
        <w:t>.</w:t>
      </w:r>
    </w:p>
    <w:p w14:paraId="720F3A36" w14:textId="171EE302" w:rsidR="004408C9" w:rsidRPr="0053503F" w:rsidRDefault="004408C9" w:rsidP="004408C9">
      <w:pPr>
        <w:bidi/>
        <w:rPr>
          <w:rFonts w:asciiTheme="majorBidi" w:hAnsiTheme="majorBidi" w:cstheme="majorBidi"/>
        </w:rPr>
      </w:pPr>
      <w:r w:rsidRPr="0053503F">
        <w:rPr>
          <w:rFonts w:asciiTheme="majorBidi" w:hAnsiTheme="majorBidi" w:cstheme="majorBidi"/>
          <w:rtl/>
        </w:rPr>
        <w:t xml:space="preserve">إن أهم ما يمكن استخلاصه من تجربة القطاع الأهلي لا يتمثل في عدد الخدمات التي قدمها، على أهميتها، وإنما في قدرته على </w:t>
      </w:r>
      <w:r w:rsidRPr="0053503F">
        <w:rPr>
          <w:rFonts w:asciiTheme="majorBidi" w:hAnsiTheme="majorBidi" w:cstheme="majorBidi"/>
          <w:b/>
          <w:bCs/>
          <w:rtl/>
        </w:rPr>
        <w:t>الحفاظ على استمرارية النظام الصحي نفسه</w:t>
      </w:r>
      <w:r w:rsidRPr="0053503F">
        <w:rPr>
          <w:rFonts w:asciiTheme="majorBidi" w:hAnsiTheme="majorBidi" w:cstheme="majorBidi"/>
        </w:rPr>
        <w:t xml:space="preserve">. </w:t>
      </w:r>
      <w:r w:rsidRPr="0053503F">
        <w:rPr>
          <w:rFonts w:asciiTheme="majorBidi" w:hAnsiTheme="majorBidi" w:cstheme="majorBidi"/>
          <w:rtl/>
        </w:rPr>
        <w:t>فقد وفر مرونة تشغيلية، وحافظ على استمرارية الوصول إلى المجتمعات المحلية، وساهم في سد الفجوات التي خلفها تضرر جزء كبير من البنية التحتية الصحية</w:t>
      </w:r>
      <w:r w:rsidRPr="0053503F">
        <w:rPr>
          <w:rFonts w:asciiTheme="majorBidi" w:hAnsiTheme="majorBidi" w:cstheme="majorBidi"/>
        </w:rPr>
        <w:t>.</w:t>
      </w:r>
    </w:p>
    <w:p w14:paraId="4D391BE2"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وبذلك، لم يكن القطاع الأهلي بديلًا عن وزارة الصحة، بل كان شريكًا مكملًا لها، أدى دورًا محوريًا في الحد من آثار انهيار أجزاء واسعة من النظام الصحي</w:t>
      </w:r>
      <w:r w:rsidRPr="0053503F">
        <w:rPr>
          <w:rFonts w:asciiTheme="majorBidi" w:hAnsiTheme="majorBidi" w:cstheme="majorBidi"/>
        </w:rPr>
        <w:t>.</w:t>
      </w:r>
    </w:p>
    <w:p w14:paraId="52B82328" w14:textId="77777777" w:rsidR="0053503F" w:rsidRPr="0053503F" w:rsidRDefault="0053503F" w:rsidP="004408C9">
      <w:pPr>
        <w:bidi/>
        <w:rPr>
          <w:rFonts w:asciiTheme="majorBidi" w:hAnsiTheme="majorBidi" w:cstheme="majorBidi"/>
          <w:b/>
          <w:bCs/>
          <w:rtl/>
        </w:rPr>
      </w:pPr>
    </w:p>
    <w:p w14:paraId="3E0F2574" w14:textId="77777777" w:rsidR="0053503F" w:rsidRPr="0053503F" w:rsidRDefault="0053503F" w:rsidP="0053503F">
      <w:pPr>
        <w:bidi/>
        <w:rPr>
          <w:rFonts w:asciiTheme="majorBidi" w:hAnsiTheme="majorBidi" w:cstheme="majorBidi"/>
          <w:b/>
          <w:bCs/>
          <w:rtl/>
        </w:rPr>
      </w:pPr>
    </w:p>
    <w:p w14:paraId="7DE1017B" w14:textId="7D298CE5" w:rsidR="004408C9" w:rsidRPr="0053503F" w:rsidRDefault="004408C9" w:rsidP="0053503F">
      <w:pPr>
        <w:bidi/>
        <w:rPr>
          <w:rFonts w:asciiTheme="majorBidi" w:hAnsiTheme="majorBidi" w:cstheme="majorBidi"/>
          <w:b/>
          <w:bCs/>
        </w:rPr>
      </w:pPr>
      <w:r w:rsidRPr="0053503F">
        <w:rPr>
          <w:rFonts w:asciiTheme="majorBidi" w:hAnsiTheme="majorBidi" w:cstheme="majorBidi"/>
          <w:b/>
          <w:bCs/>
          <w:rtl/>
        </w:rPr>
        <w:t>المبادرات الإقليمية: من تقديم المساعدات إلى تعزيز صمود النظام الصحي</w:t>
      </w:r>
    </w:p>
    <w:p w14:paraId="3C02D780"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السيدات والسادة،</w:t>
      </w:r>
    </w:p>
    <w:p w14:paraId="0ADBDC94" w14:textId="661C9B25" w:rsidR="0053503F" w:rsidRPr="0053503F" w:rsidRDefault="0053503F" w:rsidP="0053503F">
      <w:pPr>
        <w:bidi/>
        <w:rPr>
          <w:rFonts w:asciiTheme="majorBidi" w:hAnsiTheme="majorBidi" w:cstheme="majorBidi"/>
        </w:rPr>
      </w:pPr>
      <w:r w:rsidRPr="0053503F">
        <w:rPr>
          <w:rFonts w:asciiTheme="majorBidi" w:hAnsiTheme="majorBidi" w:cstheme="majorBidi"/>
          <w:rtl/>
        </w:rPr>
        <w:t xml:space="preserve">يتزامن انعقاد هذا المؤتمر مع مرور ألف يوم على إطلاق </w:t>
      </w:r>
      <w:r w:rsidRPr="0053503F">
        <w:rPr>
          <w:rFonts w:asciiTheme="majorBidi" w:hAnsiTheme="majorBidi" w:cstheme="majorBidi"/>
          <w:b/>
          <w:bCs/>
          <w:rtl/>
        </w:rPr>
        <w:t>عملية "الفارس الشهم 3</w:t>
      </w:r>
      <w:r w:rsidRPr="0053503F">
        <w:rPr>
          <w:rFonts w:asciiTheme="majorBidi" w:hAnsiTheme="majorBidi" w:cstheme="majorBidi"/>
          <w:b/>
          <w:bCs/>
        </w:rPr>
        <w:t>"</w:t>
      </w:r>
      <w:r w:rsidRPr="0053503F">
        <w:rPr>
          <w:rFonts w:asciiTheme="majorBidi" w:hAnsiTheme="majorBidi" w:cstheme="majorBidi"/>
          <w:rtl/>
        </w:rPr>
        <w:t>، التي تمثل واحدة من أكبر المبادرات الإنسانية والإغاثية التي نفذت لدعم قطاع غزة منذ أكتوبر/تشرين الأول 2023. وتوفر هذه المناسبة فرصة لتقييم الأثر الذي يمكن أن تحدثه المبادرات الإقليمية في دعم النظم الصحية خلال الأزمات الممتدة</w:t>
      </w:r>
      <w:r w:rsidRPr="0053503F">
        <w:rPr>
          <w:rFonts w:asciiTheme="majorBidi" w:hAnsiTheme="majorBidi" w:cstheme="majorBidi"/>
        </w:rPr>
        <w:t>.</w:t>
      </w:r>
    </w:p>
    <w:p w14:paraId="2FA9C8E6" w14:textId="77777777" w:rsidR="0053503F" w:rsidRPr="0053503F" w:rsidRDefault="0053503F" w:rsidP="0053503F">
      <w:pPr>
        <w:bidi/>
        <w:rPr>
          <w:rFonts w:asciiTheme="majorBidi" w:hAnsiTheme="majorBidi" w:cstheme="majorBidi"/>
          <w:rtl/>
        </w:rPr>
      </w:pPr>
      <w:r w:rsidRPr="0053503F">
        <w:rPr>
          <w:rFonts w:asciiTheme="majorBidi" w:hAnsiTheme="majorBidi" w:cstheme="majorBidi"/>
          <w:rtl/>
        </w:rPr>
        <w:t xml:space="preserve">لقد أظهرت الحرب على قطاع غزة أهمية الدور الذي يمكن أن تؤديه المبادرات الإقليمية في دعم الاستجابة الإنسانية، خاصة في ظل الضغوط غير المسبوقة التي تعرض لها النظام الصحي، والتحديات التي واجهت آليات الاستجابة الدولية التقليدية. وفي هذا السياق، برزت عملية </w:t>
      </w:r>
      <w:r w:rsidRPr="0053503F">
        <w:rPr>
          <w:rFonts w:asciiTheme="majorBidi" w:hAnsiTheme="majorBidi" w:cstheme="majorBidi"/>
          <w:b/>
          <w:bCs/>
        </w:rPr>
        <w:t>"</w:t>
      </w:r>
      <w:r w:rsidRPr="0053503F">
        <w:rPr>
          <w:rFonts w:asciiTheme="majorBidi" w:hAnsiTheme="majorBidi" w:cstheme="majorBidi"/>
          <w:b/>
          <w:bCs/>
          <w:rtl/>
        </w:rPr>
        <w:t>الفارس الشهم 3</w:t>
      </w:r>
      <w:r w:rsidRPr="0053503F">
        <w:rPr>
          <w:rFonts w:asciiTheme="majorBidi" w:hAnsiTheme="majorBidi" w:cstheme="majorBidi"/>
          <w:b/>
          <w:bCs/>
        </w:rPr>
        <w:t>"</w:t>
      </w:r>
      <w:r w:rsidRPr="0053503F">
        <w:rPr>
          <w:rFonts w:asciiTheme="majorBidi" w:hAnsiTheme="majorBidi" w:cstheme="majorBidi"/>
        </w:rPr>
        <w:t xml:space="preserve"> </w:t>
      </w:r>
      <w:r w:rsidRPr="0053503F">
        <w:rPr>
          <w:rFonts w:asciiTheme="majorBidi" w:hAnsiTheme="majorBidi" w:cstheme="majorBidi"/>
          <w:rtl/>
        </w:rPr>
        <w:t>كنموذج متكامل للاستجابة، إذ لم تقتصر على تقديم المساعدات الإنسانية، وإنما شملت تدخلات صحية ولوجستية وتنموية أسهمت في تعزيز قدرة المؤسسات الصحية على مواصلة تقديم خدماتها</w:t>
      </w:r>
      <w:r w:rsidRPr="0053503F">
        <w:rPr>
          <w:rFonts w:asciiTheme="majorBidi" w:hAnsiTheme="majorBidi" w:cstheme="majorBidi"/>
        </w:rPr>
        <w:t>.</w:t>
      </w:r>
    </w:p>
    <w:p w14:paraId="30170DB8" w14:textId="77777777" w:rsidR="0053503F" w:rsidRPr="0053503F" w:rsidRDefault="0053503F" w:rsidP="0053503F">
      <w:pPr>
        <w:bidi/>
        <w:rPr>
          <w:rFonts w:asciiTheme="majorBidi" w:hAnsiTheme="majorBidi" w:cstheme="majorBidi"/>
          <w:rtl/>
        </w:rPr>
      </w:pPr>
    </w:p>
    <w:p w14:paraId="70E9EF41" w14:textId="77777777" w:rsidR="0053503F" w:rsidRPr="0053503F" w:rsidRDefault="0053503F" w:rsidP="0053503F">
      <w:pPr>
        <w:bidi/>
        <w:rPr>
          <w:rFonts w:asciiTheme="majorBidi" w:hAnsiTheme="majorBidi" w:cstheme="majorBidi"/>
          <w:rtl/>
        </w:rPr>
      </w:pPr>
    </w:p>
    <w:p w14:paraId="7F5A8227" w14:textId="77777777" w:rsidR="0053503F" w:rsidRPr="0053503F" w:rsidRDefault="0053503F" w:rsidP="0053503F">
      <w:pPr>
        <w:bidi/>
        <w:rPr>
          <w:rFonts w:asciiTheme="majorBidi" w:hAnsiTheme="majorBidi" w:cstheme="majorBidi"/>
          <w:rtl/>
        </w:rPr>
      </w:pPr>
    </w:p>
    <w:p w14:paraId="0C35AB04" w14:textId="77777777" w:rsidR="0053503F" w:rsidRPr="0053503F" w:rsidRDefault="0053503F" w:rsidP="0053503F">
      <w:pPr>
        <w:bidi/>
        <w:rPr>
          <w:rFonts w:asciiTheme="majorBidi" w:hAnsiTheme="majorBidi" w:cstheme="majorBidi"/>
          <w:rtl/>
        </w:rPr>
      </w:pPr>
    </w:p>
    <w:p w14:paraId="5D944FDC" w14:textId="2480B053" w:rsidR="0053503F" w:rsidRPr="0053503F" w:rsidRDefault="0053503F" w:rsidP="0053503F">
      <w:pPr>
        <w:bidi/>
        <w:rPr>
          <w:rFonts w:asciiTheme="majorBidi" w:hAnsiTheme="majorBidi" w:cstheme="majorBidi"/>
          <w:rtl/>
        </w:rPr>
      </w:pPr>
      <w:proofErr w:type="gramStart"/>
      <w:r w:rsidRPr="0053503F">
        <w:rPr>
          <w:rFonts w:asciiTheme="majorBidi" w:hAnsiTheme="majorBidi" w:cstheme="majorBidi"/>
          <w:rtl/>
        </w:rPr>
        <w:t>ابرز</w:t>
      </w:r>
      <w:proofErr w:type="gramEnd"/>
      <w:r w:rsidRPr="0053503F">
        <w:rPr>
          <w:rFonts w:asciiTheme="majorBidi" w:hAnsiTheme="majorBidi" w:cstheme="majorBidi"/>
          <w:rtl/>
        </w:rPr>
        <w:t xml:space="preserve"> تدخلات الفارس الشهم </w:t>
      </w:r>
    </w:p>
    <w:tbl>
      <w:tblPr>
        <w:bidiVisual/>
        <w:tblW w:w="8500" w:type="dxa"/>
        <w:tblLook w:val="04A0" w:firstRow="1" w:lastRow="0" w:firstColumn="1" w:lastColumn="0" w:noHBand="0" w:noVBand="1"/>
      </w:tblPr>
      <w:tblGrid>
        <w:gridCol w:w="2960"/>
        <w:gridCol w:w="5540"/>
      </w:tblGrid>
      <w:tr w:rsidR="0053503F" w:rsidRPr="0053503F" w14:paraId="6F2E8DBC" w14:textId="77777777" w:rsidTr="00DE41F9">
        <w:trPr>
          <w:trHeight w:val="624"/>
        </w:trPr>
        <w:tc>
          <w:tcPr>
            <w:tcW w:w="2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C891F3" w14:textId="77777777" w:rsidR="0053503F" w:rsidRPr="0053503F" w:rsidRDefault="0053503F" w:rsidP="00DE41F9">
            <w:pPr>
              <w:bidi/>
              <w:spacing w:after="0" w:line="240" w:lineRule="auto"/>
              <w:jc w:val="center"/>
              <w:rPr>
                <w:rFonts w:asciiTheme="majorBidi" w:eastAsia="Times New Roman" w:hAnsiTheme="majorBidi" w:cstheme="majorBidi"/>
                <w:b/>
                <w:bCs/>
                <w:color w:val="000000"/>
                <w:kern w:val="0"/>
                <w14:ligatures w14:val="none"/>
              </w:rPr>
            </w:pPr>
            <w:r w:rsidRPr="0053503F">
              <w:rPr>
                <w:rFonts w:asciiTheme="majorBidi" w:eastAsia="Times New Roman" w:hAnsiTheme="majorBidi" w:cstheme="majorBidi"/>
                <w:b/>
                <w:bCs/>
                <w:color w:val="000000"/>
                <w:kern w:val="0"/>
                <w:rtl/>
                <w14:ligatures w14:val="none"/>
              </w:rPr>
              <w:t>مجال التدخل</w:t>
            </w:r>
          </w:p>
        </w:tc>
        <w:tc>
          <w:tcPr>
            <w:tcW w:w="5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93E7C0" w14:textId="77777777" w:rsidR="0053503F" w:rsidRPr="0053503F" w:rsidRDefault="0053503F" w:rsidP="00DE41F9">
            <w:pPr>
              <w:bidi/>
              <w:spacing w:after="0" w:line="240" w:lineRule="auto"/>
              <w:jc w:val="center"/>
              <w:rPr>
                <w:rFonts w:asciiTheme="majorBidi" w:eastAsia="Times New Roman" w:hAnsiTheme="majorBidi" w:cstheme="majorBidi"/>
                <w:b/>
                <w:bCs/>
                <w:color w:val="000000"/>
                <w:kern w:val="0"/>
                <w:rtl/>
                <w14:ligatures w14:val="none"/>
              </w:rPr>
            </w:pPr>
            <w:r w:rsidRPr="0053503F">
              <w:rPr>
                <w:rFonts w:asciiTheme="majorBidi" w:eastAsia="Times New Roman" w:hAnsiTheme="majorBidi" w:cstheme="majorBidi"/>
                <w:b/>
                <w:bCs/>
                <w:color w:val="000000"/>
                <w:kern w:val="0"/>
                <w:rtl/>
                <w14:ligatures w14:val="none"/>
              </w:rPr>
              <w:t>الإنجاز</w:t>
            </w:r>
          </w:p>
        </w:tc>
      </w:tr>
      <w:tr w:rsidR="0053503F" w:rsidRPr="0053503F" w14:paraId="37561111" w14:textId="77777777" w:rsidTr="00DE41F9">
        <w:trPr>
          <w:trHeight w:val="1248"/>
        </w:trPr>
        <w:tc>
          <w:tcPr>
            <w:tcW w:w="2960" w:type="dxa"/>
            <w:tcBorders>
              <w:top w:val="nil"/>
              <w:left w:val="single" w:sz="4" w:space="0" w:color="auto"/>
              <w:bottom w:val="single" w:sz="4" w:space="0" w:color="auto"/>
              <w:right w:val="single" w:sz="4" w:space="0" w:color="auto"/>
            </w:tcBorders>
            <w:vAlign w:val="center"/>
            <w:hideMark/>
          </w:tcPr>
          <w:p w14:paraId="68004F18" w14:textId="77777777" w:rsidR="0053503F" w:rsidRPr="0053503F" w:rsidRDefault="0053503F" w:rsidP="00DE41F9">
            <w:pPr>
              <w:bidi/>
              <w:spacing w:after="0" w:line="240" w:lineRule="auto"/>
              <w:jc w:val="center"/>
              <w:rPr>
                <w:rFonts w:asciiTheme="majorBidi" w:eastAsia="Times New Roman" w:hAnsiTheme="majorBidi" w:cstheme="majorBidi"/>
                <w:color w:val="000000"/>
                <w:kern w:val="0"/>
                <w:rtl/>
                <w14:ligatures w14:val="none"/>
              </w:rPr>
            </w:pPr>
            <w:r w:rsidRPr="0053503F">
              <w:rPr>
                <w:rFonts w:asciiTheme="majorBidi" w:eastAsia="Times New Roman" w:hAnsiTheme="majorBidi" w:cstheme="majorBidi"/>
                <w:color w:val="000000"/>
                <w:kern w:val="0"/>
                <w:rtl/>
                <w14:ligatures w14:val="none"/>
              </w:rPr>
              <w:t>إجمالي المساعدات المقدمة</w:t>
            </w:r>
          </w:p>
        </w:tc>
        <w:tc>
          <w:tcPr>
            <w:tcW w:w="5540" w:type="dxa"/>
            <w:tcBorders>
              <w:top w:val="nil"/>
              <w:left w:val="single" w:sz="4" w:space="0" w:color="auto"/>
              <w:bottom w:val="single" w:sz="4" w:space="0" w:color="auto"/>
              <w:right w:val="single" w:sz="4" w:space="0" w:color="auto"/>
            </w:tcBorders>
            <w:vAlign w:val="center"/>
            <w:hideMark/>
          </w:tcPr>
          <w:p w14:paraId="6EE737D6" w14:textId="77777777" w:rsidR="0053503F" w:rsidRPr="0053503F" w:rsidRDefault="0053503F" w:rsidP="00DE41F9">
            <w:pPr>
              <w:bidi/>
              <w:spacing w:after="0" w:line="240" w:lineRule="auto"/>
              <w:jc w:val="center"/>
              <w:rPr>
                <w:rFonts w:asciiTheme="majorBidi" w:eastAsia="Times New Roman" w:hAnsiTheme="majorBidi" w:cstheme="majorBidi"/>
                <w:color w:val="000000"/>
                <w:kern w:val="0"/>
                <w:rtl/>
                <w14:ligatures w14:val="none"/>
              </w:rPr>
            </w:pPr>
            <w:r w:rsidRPr="0053503F">
              <w:rPr>
                <w:rFonts w:asciiTheme="majorBidi" w:eastAsia="Times New Roman" w:hAnsiTheme="majorBidi" w:cstheme="majorBidi"/>
                <w:color w:val="000000"/>
                <w:kern w:val="0"/>
                <w:rtl/>
                <w14:ligatures w14:val="none"/>
              </w:rPr>
              <w:t>أكثر من 122 ألف طن من المساعدات الإنسانية (حتى أبريل 2026)، وارتفعت لاحقا إلى أكثر من 65 ألف طن إضافية ضمن مراحل لاحقة من العملية، بقيمة إجمالية تجاوزت 3 مليارات دولار وفق البيانات الإماراتية. (</w:t>
            </w:r>
            <w:r w:rsidRPr="0053503F">
              <w:rPr>
                <w:rFonts w:asciiTheme="majorBidi" w:eastAsia="Times New Roman" w:hAnsiTheme="majorBidi" w:cstheme="majorBidi"/>
                <w:color w:val="000000"/>
                <w:kern w:val="0"/>
                <w14:ligatures w14:val="none"/>
              </w:rPr>
              <w:t>WAM</w:t>
            </w:r>
            <w:r w:rsidRPr="0053503F">
              <w:rPr>
                <w:rFonts w:asciiTheme="majorBidi" w:eastAsia="Times New Roman" w:hAnsiTheme="majorBidi" w:cstheme="majorBidi"/>
                <w:color w:val="000000"/>
                <w:kern w:val="0"/>
                <w:rtl/>
                <w14:ligatures w14:val="none"/>
              </w:rPr>
              <w:t>)</w:t>
            </w:r>
          </w:p>
        </w:tc>
      </w:tr>
      <w:tr w:rsidR="0053503F" w:rsidRPr="0053503F" w14:paraId="3A609B69" w14:textId="77777777" w:rsidTr="00DE41F9">
        <w:trPr>
          <w:trHeight w:val="624"/>
        </w:trPr>
        <w:tc>
          <w:tcPr>
            <w:tcW w:w="2960" w:type="dxa"/>
            <w:tcBorders>
              <w:top w:val="nil"/>
              <w:left w:val="single" w:sz="4" w:space="0" w:color="auto"/>
              <w:bottom w:val="single" w:sz="4" w:space="0" w:color="auto"/>
              <w:right w:val="single" w:sz="4" w:space="0" w:color="auto"/>
            </w:tcBorders>
            <w:vAlign w:val="center"/>
            <w:hideMark/>
          </w:tcPr>
          <w:p w14:paraId="7BD98A9F" w14:textId="77777777" w:rsidR="0053503F" w:rsidRPr="0053503F" w:rsidRDefault="0053503F" w:rsidP="00DE41F9">
            <w:pPr>
              <w:bidi/>
              <w:spacing w:after="0" w:line="240" w:lineRule="auto"/>
              <w:jc w:val="center"/>
              <w:rPr>
                <w:rFonts w:asciiTheme="majorBidi" w:eastAsia="Times New Roman" w:hAnsiTheme="majorBidi" w:cstheme="majorBidi"/>
                <w:color w:val="000000"/>
                <w:kern w:val="0"/>
                <w:rtl/>
                <w14:ligatures w14:val="none"/>
              </w:rPr>
            </w:pPr>
            <w:r w:rsidRPr="0053503F">
              <w:rPr>
                <w:rFonts w:asciiTheme="majorBidi" w:eastAsia="Times New Roman" w:hAnsiTheme="majorBidi" w:cstheme="majorBidi"/>
                <w:color w:val="000000"/>
                <w:kern w:val="0"/>
                <w:rtl/>
                <w14:ligatures w14:val="none"/>
              </w:rPr>
              <w:t>الجسر الجوي</w:t>
            </w:r>
          </w:p>
        </w:tc>
        <w:tc>
          <w:tcPr>
            <w:tcW w:w="5540" w:type="dxa"/>
            <w:tcBorders>
              <w:top w:val="nil"/>
              <w:left w:val="single" w:sz="4" w:space="0" w:color="auto"/>
              <w:bottom w:val="single" w:sz="4" w:space="0" w:color="auto"/>
              <w:right w:val="single" w:sz="4" w:space="0" w:color="auto"/>
            </w:tcBorders>
            <w:vAlign w:val="center"/>
            <w:hideMark/>
          </w:tcPr>
          <w:p w14:paraId="63A7E09C" w14:textId="77777777" w:rsidR="0053503F" w:rsidRPr="0053503F" w:rsidRDefault="0053503F" w:rsidP="00DE41F9">
            <w:pPr>
              <w:bidi/>
              <w:spacing w:after="0" w:line="240" w:lineRule="auto"/>
              <w:jc w:val="center"/>
              <w:rPr>
                <w:rFonts w:asciiTheme="majorBidi" w:eastAsia="Times New Roman" w:hAnsiTheme="majorBidi" w:cstheme="majorBidi"/>
                <w:color w:val="000000"/>
                <w:kern w:val="0"/>
                <w:rtl/>
                <w14:ligatures w14:val="none"/>
              </w:rPr>
            </w:pPr>
            <w:r w:rsidRPr="0053503F">
              <w:rPr>
                <w:rFonts w:asciiTheme="majorBidi" w:eastAsia="Times New Roman" w:hAnsiTheme="majorBidi" w:cstheme="majorBidi"/>
                <w:color w:val="000000"/>
                <w:kern w:val="0"/>
                <w:rtl/>
                <w14:ligatures w14:val="none"/>
              </w:rPr>
              <w:t>عشرات الرحلات الجوية لنقل الأدوية والمساعدات الإنسانية إلى العريش ومنها إلى غزة. (</w:t>
            </w:r>
            <w:r w:rsidRPr="0053503F">
              <w:rPr>
                <w:rFonts w:asciiTheme="majorBidi" w:eastAsia="Times New Roman" w:hAnsiTheme="majorBidi" w:cstheme="majorBidi"/>
                <w:color w:val="000000"/>
                <w:kern w:val="0"/>
                <w14:ligatures w14:val="none"/>
              </w:rPr>
              <w:t>WAM</w:t>
            </w:r>
            <w:r w:rsidRPr="0053503F">
              <w:rPr>
                <w:rFonts w:asciiTheme="majorBidi" w:eastAsia="Times New Roman" w:hAnsiTheme="majorBidi" w:cstheme="majorBidi"/>
                <w:color w:val="000000"/>
                <w:kern w:val="0"/>
                <w:rtl/>
                <w14:ligatures w14:val="none"/>
              </w:rPr>
              <w:t>)</w:t>
            </w:r>
          </w:p>
        </w:tc>
      </w:tr>
      <w:tr w:rsidR="0053503F" w:rsidRPr="0053503F" w14:paraId="18535A98" w14:textId="77777777" w:rsidTr="00DE41F9">
        <w:trPr>
          <w:trHeight w:val="624"/>
        </w:trPr>
        <w:tc>
          <w:tcPr>
            <w:tcW w:w="2960" w:type="dxa"/>
            <w:tcBorders>
              <w:top w:val="nil"/>
              <w:left w:val="single" w:sz="4" w:space="0" w:color="auto"/>
              <w:bottom w:val="single" w:sz="4" w:space="0" w:color="auto"/>
              <w:right w:val="single" w:sz="4" w:space="0" w:color="auto"/>
            </w:tcBorders>
            <w:vAlign w:val="center"/>
            <w:hideMark/>
          </w:tcPr>
          <w:p w14:paraId="2736E3B6" w14:textId="77777777" w:rsidR="0053503F" w:rsidRPr="0053503F" w:rsidRDefault="0053503F" w:rsidP="00DE41F9">
            <w:pPr>
              <w:bidi/>
              <w:spacing w:after="0" w:line="240" w:lineRule="auto"/>
              <w:jc w:val="center"/>
              <w:rPr>
                <w:rFonts w:asciiTheme="majorBidi" w:eastAsia="Times New Roman" w:hAnsiTheme="majorBidi" w:cstheme="majorBidi"/>
                <w:color w:val="000000"/>
                <w:kern w:val="0"/>
                <w:rtl/>
                <w14:ligatures w14:val="none"/>
              </w:rPr>
            </w:pPr>
            <w:r w:rsidRPr="0053503F">
              <w:rPr>
                <w:rFonts w:asciiTheme="majorBidi" w:eastAsia="Times New Roman" w:hAnsiTheme="majorBidi" w:cstheme="majorBidi"/>
                <w:color w:val="000000"/>
                <w:kern w:val="0"/>
                <w:rtl/>
                <w14:ligatures w14:val="none"/>
              </w:rPr>
              <w:t>قوافل المساعدات</w:t>
            </w:r>
          </w:p>
        </w:tc>
        <w:tc>
          <w:tcPr>
            <w:tcW w:w="5540" w:type="dxa"/>
            <w:tcBorders>
              <w:top w:val="nil"/>
              <w:left w:val="single" w:sz="4" w:space="0" w:color="auto"/>
              <w:bottom w:val="single" w:sz="4" w:space="0" w:color="auto"/>
              <w:right w:val="single" w:sz="4" w:space="0" w:color="auto"/>
            </w:tcBorders>
            <w:vAlign w:val="center"/>
            <w:hideMark/>
          </w:tcPr>
          <w:p w14:paraId="7FCA8B6A" w14:textId="77777777" w:rsidR="0053503F" w:rsidRPr="0053503F" w:rsidRDefault="0053503F" w:rsidP="00DE41F9">
            <w:pPr>
              <w:bidi/>
              <w:spacing w:after="0" w:line="240" w:lineRule="auto"/>
              <w:jc w:val="center"/>
              <w:rPr>
                <w:rFonts w:asciiTheme="majorBidi" w:eastAsia="Times New Roman" w:hAnsiTheme="majorBidi" w:cstheme="majorBidi"/>
                <w:color w:val="000000"/>
                <w:kern w:val="0"/>
                <w:rtl/>
                <w14:ligatures w14:val="none"/>
              </w:rPr>
            </w:pPr>
            <w:r w:rsidRPr="0053503F">
              <w:rPr>
                <w:rFonts w:asciiTheme="majorBidi" w:eastAsia="Times New Roman" w:hAnsiTheme="majorBidi" w:cstheme="majorBidi"/>
                <w:color w:val="000000"/>
                <w:kern w:val="0"/>
                <w:rtl/>
                <w14:ligatures w14:val="none"/>
              </w:rPr>
              <w:t>مئات القوافل البرية عبر معبر كرم أبو سالم ومركز العريش اللوجستي، منها أكثر من 328 قافلة بحلول مارس 2026. (</w:t>
            </w:r>
            <w:r w:rsidRPr="0053503F">
              <w:rPr>
                <w:rFonts w:asciiTheme="majorBidi" w:eastAsia="Times New Roman" w:hAnsiTheme="majorBidi" w:cstheme="majorBidi"/>
                <w:color w:val="000000"/>
                <w:kern w:val="0"/>
                <w14:ligatures w14:val="none"/>
              </w:rPr>
              <w:t>WAM</w:t>
            </w:r>
            <w:r w:rsidRPr="0053503F">
              <w:rPr>
                <w:rFonts w:asciiTheme="majorBidi" w:eastAsia="Times New Roman" w:hAnsiTheme="majorBidi" w:cstheme="majorBidi"/>
                <w:color w:val="000000"/>
                <w:kern w:val="0"/>
                <w:rtl/>
                <w14:ligatures w14:val="none"/>
              </w:rPr>
              <w:t>)</w:t>
            </w:r>
          </w:p>
        </w:tc>
      </w:tr>
      <w:tr w:rsidR="0053503F" w:rsidRPr="0053503F" w14:paraId="4BD490E4" w14:textId="77777777" w:rsidTr="00DE41F9">
        <w:trPr>
          <w:trHeight w:val="624"/>
        </w:trPr>
        <w:tc>
          <w:tcPr>
            <w:tcW w:w="2960" w:type="dxa"/>
            <w:tcBorders>
              <w:top w:val="nil"/>
              <w:left w:val="single" w:sz="4" w:space="0" w:color="auto"/>
              <w:bottom w:val="single" w:sz="4" w:space="0" w:color="auto"/>
              <w:right w:val="single" w:sz="4" w:space="0" w:color="auto"/>
            </w:tcBorders>
            <w:vAlign w:val="center"/>
            <w:hideMark/>
          </w:tcPr>
          <w:p w14:paraId="50C74113" w14:textId="77777777" w:rsidR="0053503F" w:rsidRPr="0053503F" w:rsidRDefault="0053503F" w:rsidP="00DE41F9">
            <w:pPr>
              <w:bidi/>
              <w:spacing w:after="0" w:line="240" w:lineRule="auto"/>
              <w:jc w:val="center"/>
              <w:rPr>
                <w:rFonts w:asciiTheme="majorBidi" w:eastAsia="Times New Roman" w:hAnsiTheme="majorBidi" w:cstheme="majorBidi"/>
                <w:color w:val="000000"/>
                <w:kern w:val="0"/>
                <w:rtl/>
                <w14:ligatures w14:val="none"/>
              </w:rPr>
            </w:pPr>
            <w:r w:rsidRPr="0053503F">
              <w:rPr>
                <w:rFonts w:asciiTheme="majorBidi" w:eastAsia="Times New Roman" w:hAnsiTheme="majorBidi" w:cstheme="majorBidi"/>
                <w:color w:val="000000"/>
                <w:kern w:val="0"/>
                <w:rtl/>
                <w14:ligatures w14:val="none"/>
              </w:rPr>
              <w:t>السفن الإغاثية</w:t>
            </w:r>
          </w:p>
        </w:tc>
        <w:tc>
          <w:tcPr>
            <w:tcW w:w="5540" w:type="dxa"/>
            <w:tcBorders>
              <w:top w:val="nil"/>
              <w:left w:val="single" w:sz="4" w:space="0" w:color="auto"/>
              <w:bottom w:val="single" w:sz="4" w:space="0" w:color="auto"/>
              <w:right w:val="single" w:sz="4" w:space="0" w:color="auto"/>
            </w:tcBorders>
            <w:vAlign w:val="center"/>
            <w:hideMark/>
          </w:tcPr>
          <w:p w14:paraId="0718572A" w14:textId="77777777" w:rsidR="0053503F" w:rsidRPr="0053503F" w:rsidRDefault="0053503F" w:rsidP="00DE41F9">
            <w:pPr>
              <w:bidi/>
              <w:spacing w:after="0" w:line="240" w:lineRule="auto"/>
              <w:jc w:val="center"/>
              <w:rPr>
                <w:rFonts w:asciiTheme="majorBidi" w:eastAsia="Times New Roman" w:hAnsiTheme="majorBidi" w:cstheme="majorBidi"/>
                <w:color w:val="000000"/>
                <w:kern w:val="0"/>
                <w:rtl/>
                <w14:ligatures w14:val="none"/>
              </w:rPr>
            </w:pPr>
            <w:r w:rsidRPr="0053503F">
              <w:rPr>
                <w:rFonts w:asciiTheme="majorBidi" w:eastAsia="Times New Roman" w:hAnsiTheme="majorBidi" w:cstheme="majorBidi"/>
                <w:color w:val="000000"/>
                <w:kern w:val="0"/>
                <w:rtl/>
                <w14:ligatures w14:val="none"/>
              </w:rPr>
              <w:t xml:space="preserve">تجهيز وإرسال 9 سفن إغاثية محملة بآلاف الأطنان من المواد الغذائية والطبية </w:t>
            </w:r>
            <w:proofErr w:type="spellStart"/>
            <w:r w:rsidRPr="0053503F">
              <w:rPr>
                <w:rFonts w:asciiTheme="majorBidi" w:eastAsia="Times New Roman" w:hAnsiTheme="majorBidi" w:cstheme="majorBidi"/>
                <w:color w:val="000000"/>
                <w:kern w:val="0"/>
                <w:rtl/>
                <w14:ligatures w14:val="none"/>
              </w:rPr>
              <w:t>والإيوائية</w:t>
            </w:r>
            <w:proofErr w:type="spellEnd"/>
            <w:r w:rsidRPr="0053503F">
              <w:rPr>
                <w:rFonts w:asciiTheme="majorBidi" w:eastAsia="Times New Roman" w:hAnsiTheme="majorBidi" w:cstheme="majorBidi"/>
                <w:color w:val="000000"/>
                <w:kern w:val="0"/>
                <w:rtl/>
                <w14:ligatures w14:val="none"/>
              </w:rPr>
              <w:t>. (</w:t>
            </w:r>
            <w:r w:rsidRPr="0053503F">
              <w:rPr>
                <w:rFonts w:asciiTheme="majorBidi" w:eastAsia="Times New Roman" w:hAnsiTheme="majorBidi" w:cstheme="majorBidi"/>
                <w:color w:val="000000"/>
                <w:kern w:val="0"/>
                <w14:ligatures w14:val="none"/>
              </w:rPr>
              <w:t>RRC Dr</w:t>
            </w:r>
            <w:r w:rsidRPr="0053503F">
              <w:rPr>
                <w:rFonts w:asciiTheme="majorBidi" w:eastAsia="Times New Roman" w:hAnsiTheme="majorBidi" w:cstheme="majorBidi"/>
                <w:color w:val="000000"/>
                <w:kern w:val="0"/>
                <w:rtl/>
                <w14:ligatures w14:val="none"/>
              </w:rPr>
              <w:t>.)</w:t>
            </w:r>
          </w:p>
        </w:tc>
      </w:tr>
      <w:tr w:rsidR="0053503F" w:rsidRPr="0053503F" w14:paraId="6A362458" w14:textId="77777777" w:rsidTr="00DE41F9">
        <w:trPr>
          <w:trHeight w:val="624"/>
        </w:trPr>
        <w:tc>
          <w:tcPr>
            <w:tcW w:w="2960" w:type="dxa"/>
            <w:tcBorders>
              <w:top w:val="nil"/>
              <w:left w:val="single" w:sz="4" w:space="0" w:color="auto"/>
              <w:bottom w:val="single" w:sz="4" w:space="0" w:color="auto"/>
              <w:right w:val="single" w:sz="4" w:space="0" w:color="auto"/>
            </w:tcBorders>
            <w:vAlign w:val="center"/>
            <w:hideMark/>
          </w:tcPr>
          <w:p w14:paraId="34C7623B" w14:textId="77777777" w:rsidR="0053503F" w:rsidRPr="0053503F" w:rsidRDefault="0053503F" w:rsidP="00DE41F9">
            <w:pPr>
              <w:bidi/>
              <w:spacing w:after="0" w:line="240" w:lineRule="auto"/>
              <w:jc w:val="center"/>
              <w:rPr>
                <w:rFonts w:asciiTheme="majorBidi" w:eastAsia="Times New Roman" w:hAnsiTheme="majorBidi" w:cstheme="majorBidi"/>
                <w:color w:val="000000"/>
                <w:kern w:val="0"/>
                <w:rtl/>
                <w14:ligatures w14:val="none"/>
              </w:rPr>
            </w:pPr>
            <w:r w:rsidRPr="0053503F">
              <w:rPr>
                <w:rFonts w:asciiTheme="majorBidi" w:eastAsia="Times New Roman" w:hAnsiTheme="majorBidi" w:cstheme="majorBidi"/>
                <w:color w:val="000000"/>
                <w:kern w:val="0"/>
                <w:rtl/>
                <w14:ligatures w14:val="none"/>
              </w:rPr>
              <w:t>المستشفى الميداني داخل غزة</w:t>
            </w:r>
          </w:p>
        </w:tc>
        <w:tc>
          <w:tcPr>
            <w:tcW w:w="5540" w:type="dxa"/>
            <w:tcBorders>
              <w:top w:val="nil"/>
              <w:left w:val="single" w:sz="4" w:space="0" w:color="auto"/>
              <w:bottom w:val="single" w:sz="4" w:space="0" w:color="auto"/>
              <w:right w:val="single" w:sz="4" w:space="0" w:color="auto"/>
            </w:tcBorders>
            <w:vAlign w:val="center"/>
            <w:hideMark/>
          </w:tcPr>
          <w:p w14:paraId="60103E62" w14:textId="77777777" w:rsidR="0053503F" w:rsidRPr="0053503F" w:rsidRDefault="0053503F" w:rsidP="00DE41F9">
            <w:pPr>
              <w:bidi/>
              <w:spacing w:after="0" w:line="240" w:lineRule="auto"/>
              <w:jc w:val="center"/>
              <w:rPr>
                <w:rFonts w:asciiTheme="majorBidi" w:eastAsia="Times New Roman" w:hAnsiTheme="majorBidi" w:cstheme="majorBidi"/>
                <w:color w:val="000000"/>
                <w:kern w:val="0"/>
                <w:rtl/>
                <w14:ligatures w14:val="none"/>
              </w:rPr>
            </w:pPr>
            <w:r w:rsidRPr="0053503F">
              <w:rPr>
                <w:rFonts w:asciiTheme="majorBidi" w:eastAsia="Times New Roman" w:hAnsiTheme="majorBidi" w:cstheme="majorBidi"/>
                <w:color w:val="000000"/>
                <w:kern w:val="0"/>
                <w:rtl/>
                <w14:ligatures w14:val="none"/>
              </w:rPr>
              <w:t>قدم خدمات علاجية لأكثر من 53,802 مريض منذ افتتاحه في ديسمبر 2023. (</w:t>
            </w:r>
            <w:r w:rsidRPr="0053503F">
              <w:rPr>
                <w:rFonts w:asciiTheme="majorBidi" w:eastAsia="Times New Roman" w:hAnsiTheme="majorBidi" w:cstheme="majorBidi"/>
                <w:color w:val="000000"/>
                <w:kern w:val="0"/>
                <w14:ligatures w14:val="none"/>
              </w:rPr>
              <w:t>WAM</w:t>
            </w:r>
            <w:r w:rsidRPr="0053503F">
              <w:rPr>
                <w:rFonts w:asciiTheme="majorBidi" w:eastAsia="Times New Roman" w:hAnsiTheme="majorBidi" w:cstheme="majorBidi"/>
                <w:color w:val="000000"/>
                <w:kern w:val="0"/>
                <w:rtl/>
                <w14:ligatures w14:val="none"/>
              </w:rPr>
              <w:t>)</w:t>
            </w:r>
          </w:p>
        </w:tc>
      </w:tr>
      <w:tr w:rsidR="0053503F" w:rsidRPr="0053503F" w14:paraId="439A3961" w14:textId="77777777" w:rsidTr="00DE41F9">
        <w:trPr>
          <w:trHeight w:val="594"/>
        </w:trPr>
        <w:tc>
          <w:tcPr>
            <w:tcW w:w="2960" w:type="dxa"/>
            <w:tcBorders>
              <w:top w:val="nil"/>
              <w:left w:val="single" w:sz="4" w:space="0" w:color="auto"/>
              <w:bottom w:val="single" w:sz="4" w:space="0" w:color="auto"/>
              <w:right w:val="single" w:sz="4" w:space="0" w:color="auto"/>
            </w:tcBorders>
            <w:vAlign w:val="center"/>
            <w:hideMark/>
          </w:tcPr>
          <w:p w14:paraId="3A1D2FA4" w14:textId="77777777" w:rsidR="0053503F" w:rsidRPr="0053503F" w:rsidRDefault="0053503F" w:rsidP="00DE41F9">
            <w:pPr>
              <w:bidi/>
              <w:spacing w:after="0" w:line="240" w:lineRule="auto"/>
              <w:jc w:val="center"/>
              <w:rPr>
                <w:rFonts w:asciiTheme="majorBidi" w:eastAsia="Times New Roman" w:hAnsiTheme="majorBidi" w:cstheme="majorBidi"/>
                <w:color w:val="000000"/>
                <w:kern w:val="0"/>
                <w:rtl/>
                <w14:ligatures w14:val="none"/>
              </w:rPr>
            </w:pPr>
            <w:r w:rsidRPr="0053503F">
              <w:rPr>
                <w:rFonts w:asciiTheme="majorBidi" w:eastAsia="Times New Roman" w:hAnsiTheme="majorBidi" w:cstheme="majorBidi"/>
                <w:color w:val="000000"/>
                <w:kern w:val="0"/>
                <w:rtl/>
                <w14:ligatures w14:val="none"/>
              </w:rPr>
              <w:t>المستشفى العائم في العريش</w:t>
            </w:r>
          </w:p>
        </w:tc>
        <w:tc>
          <w:tcPr>
            <w:tcW w:w="5540" w:type="dxa"/>
            <w:tcBorders>
              <w:top w:val="nil"/>
              <w:left w:val="single" w:sz="4" w:space="0" w:color="auto"/>
              <w:bottom w:val="single" w:sz="4" w:space="0" w:color="auto"/>
              <w:right w:val="single" w:sz="4" w:space="0" w:color="auto"/>
            </w:tcBorders>
            <w:vAlign w:val="center"/>
            <w:hideMark/>
          </w:tcPr>
          <w:p w14:paraId="0CB98118" w14:textId="77777777" w:rsidR="0053503F" w:rsidRPr="0053503F" w:rsidRDefault="0053503F" w:rsidP="00DE41F9">
            <w:pPr>
              <w:bidi/>
              <w:spacing w:after="0" w:line="240" w:lineRule="auto"/>
              <w:jc w:val="center"/>
              <w:rPr>
                <w:rFonts w:asciiTheme="majorBidi" w:eastAsia="Times New Roman" w:hAnsiTheme="majorBidi" w:cstheme="majorBidi"/>
                <w:color w:val="000000"/>
                <w:kern w:val="0"/>
                <w:rtl/>
                <w14:ligatures w14:val="none"/>
              </w:rPr>
            </w:pPr>
            <w:r w:rsidRPr="0053503F">
              <w:rPr>
                <w:rFonts w:asciiTheme="majorBidi" w:eastAsia="Times New Roman" w:hAnsiTheme="majorBidi" w:cstheme="majorBidi"/>
                <w:color w:val="000000"/>
                <w:kern w:val="0"/>
                <w:rtl/>
                <w14:ligatures w14:val="none"/>
              </w:rPr>
              <w:t>عالج أكثر من 10,300 مريض من المحولين من غزة. (</w:t>
            </w:r>
            <w:r w:rsidRPr="0053503F">
              <w:rPr>
                <w:rFonts w:asciiTheme="majorBidi" w:eastAsia="Times New Roman" w:hAnsiTheme="majorBidi" w:cstheme="majorBidi"/>
                <w:color w:val="000000"/>
                <w:kern w:val="0"/>
                <w14:ligatures w14:val="none"/>
              </w:rPr>
              <w:t>WAM</w:t>
            </w:r>
            <w:r w:rsidRPr="0053503F">
              <w:rPr>
                <w:rFonts w:asciiTheme="majorBidi" w:eastAsia="Times New Roman" w:hAnsiTheme="majorBidi" w:cstheme="majorBidi"/>
                <w:color w:val="000000"/>
                <w:kern w:val="0"/>
                <w:rtl/>
                <w14:ligatures w14:val="none"/>
              </w:rPr>
              <w:t>)</w:t>
            </w:r>
          </w:p>
        </w:tc>
      </w:tr>
      <w:tr w:rsidR="0053503F" w:rsidRPr="0053503F" w14:paraId="2CF8C560" w14:textId="77777777" w:rsidTr="00DE41F9">
        <w:trPr>
          <w:trHeight w:val="594"/>
        </w:trPr>
        <w:tc>
          <w:tcPr>
            <w:tcW w:w="2960" w:type="dxa"/>
            <w:tcBorders>
              <w:top w:val="nil"/>
              <w:left w:val="single" w:sz="4" w:space="0" w:color="auto"/>
              <w:bottom w:val="single" w:sz="4" w:space="0" w:color="auto"/>
              <w:right w:val="single" w:sz="4" w:space="0" w:color="auto"/>
            </w:tcBorders>
            <w:vAlign w:val="center"/>
          </w:tcPr>
          <w:p w14:paraId="0E9818E8" w14:textId="77777777" w:rsidR="0053503F" w:rsidRPr="0053503F" w:rsidRDefault="0053503F" w:rsidP="00DE41F9">
            <w:pPr>
              <w:bidi/>
              <w:spacing w:after="0" w:line="240" w:lineRule="auto"/>
              <w:jc w:val="center"/>
              <w:rPr>
                <w:rFonts w:asciiTheme="majorBidi" w:eastAsia="Times New Roman" w:hAnsiTheme="majorBidi" w:cstheme="majorBidi"/>
                <w:color w:val="000000"/>
                <w:kern w:val="0"/>
                <w:rtl/>
                <w14:ligatures w14:val="none"/>
              </w:rPr>
            </w:pPr>
            <w:r w:rsidRPr="0053503F">
              <w:rPr>
                <w:rFonts w:asciiTheme="majorBidi" w:eastAsia="Times New Roman" w:hAnsiTheme="majorBidi" w:cstheme="majorBidi"/>
                <w:color w:val="000000"/>
                <w:kern w:val="0"/>
                <w:rtl/>
                <w14:ligatures w14:val="none"/>
              </w:rPr>
              <w:t xml:space="preserve">مركز الامارات الطبي 1 </w:t>
            </w:r>
            <w:proofErr w:type="gramStart"/>
            <w:r w:rsidRPr="0053503F">
              <w:rPr>
                <w:rFonts w:asciiTheme="majorBidi" w:eastAsia="Times New Roman" w:hAnsiTheme="majorBidi" w:cstheme="majorBidi"/>
                <w:color w:val="000000"/>
                <w:kern w:val="0"/>
                <w:rtl/>
                <w14:ligatures w14:val="none"/>
              </w:rPr>
              <w:t>و 2</w:t>
            </w:r>
            <w:proofErr w:type="gramEnd"/>
          </w:p>
        </w:tc>
        <w:tc>
          <w:tcPr>
            <w:tcW w:w="5540" w:type="dxa"/>
            <w:tcBorders>
              <w:top w:val="nil"/>
              <w:left w:val="single" w:sz="4" w:space="0" w:color="auto"/>
              <w:bottom w:val="single" w:sz="4" w:space="0" w:color="auto"/>
              <w:right w:val="single" w:sz="4" w:space="0" w:color="auto"/>
            </w:tcBorders>
            <w:vAlign w:val="center"/>
          </w:tcPr>
          <w:p w14:paraId="7C002783" w14:textId="77777777" w:rsidR="0053503F" w:rsidRPr="0053503F" w:rsidRDefault="0053503F" w:rsidP="00DE41F9">
            <w:pPr>
              <w:bidi/>
              <w:spacing w:after="0" w:line="240" w:lineRule="auto"/>
              <w:jc w:val="center"/>
              <w:rPr>
                <w:rFonts w:asciiTheme="majorBidi" w:eastAsia="Times New Roman" w:hAnsiTheme="majorBidi" w:cstheme="majorBidi"/>
                <w:color w:val="000000"/>
                <w:kern w:val="0"/>
                <w:rtl/>
                <w14:ligatures w14:val="none"/>
              </w:rPr>
            </w:pPr>
            <w:r w:rsidRPr="0053503F">
              <w:rPr>
                <w:rFonts w:asciiTheme="majorBidi" w:eastAsia="Times New Roman" w:hAnsiTheme="majorBidi" w:cstheme="majorBidi"/>
                <w:color w:val="000000"/>
                <w:kern w:val="0"/>
                <w:rtl/>
                <w14:ligatures w14:val="none"/>
              </w:rPr>
              <w:t>قدم خدمات علاجية لأكثر من 62,706</w:t>
            </w:r>
          </w:p>
        </w:tc>
      </w:tr>
    </w:tbl>
    <w:p w14:paraId="5561E30B" w14:textId="77777777" w:rsidR="0053503F" w:rsidRPr="0053503F" w:rsidRDefault="0053503F" w:rsidP="0053503F">
      <w:pPr>
        <w:bidi/>
        <w:rPr>
          <w:rFonts w:asciiTheme="majorBidi" w:hAnsiTheme="majorBidi" w:cstheme="majorBidi"/>
          <w:rtl/>
        </w:rPr>
      </w:pPr>
    </w:p>
    <w:p w14:paraId="680E18C6"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 xml:space="preserve">غير أن القيمة الحقيقية لهذه المبادرة، من منظور هذه الورقة، لا تكمن في حجم الموارد التي تم حشدها، وإنما في </w:t>
      </w:r>
      <w:r w:rsidRPr="0053503F">
        <w:rPr>
          <w:rFonts w:asciiTheme="majorBidi" w:hAnsiTheme="majorBidi" w:cstheme="majorBidi"/>
          <w:b/>
          <w:bCs/>
          <w:rtl/>
        </w:rPr>
        <w:t>كيفية توظيف هذه الموارد لدعم استمرارية النظام الصحي الفلسطيني</w:t>
      </w:r>
      <w:r w:rsidRPr="0053503F">
        <w:rPr>
          <w:rFonts w:asciiTheme="majorBidi" w:hAnsiTheme="majorBidi" w:cstheme="majorBidi"/>
        </w:rPr>
        <w:t xml:space="preserve">. </w:t>
      </w:r>
      <w:r w:rsidRPr="0053503F">
        <w:rPr>
          <w:rFonts w:asciiTheme="majorBidi" w:hAnsiTheme="majorBidi" w:cstheme="majorBidi"/>
          <w:rtl/>
        </w:rPr>
        <w:t>فقد عززت العملية قدرة المستشفيات والمؤسسات الصحية الوطنية على الاستجابة، وأسهمت في سد فجوات حرجة في مجالات العلاج، والإمداد الطبي، والإجلاء، دون أن تحل محل المؤسسات الوطنية، بل عملت بالتنسيق معها ومع وزارة الصحة الفلسطينية والشركاء الإنسانيين</w:t>
      </w:r>
      <w:r w:rsidRPr="0053503F">
        <w:rPr>
          <w:rFonts w:asciiTheme="majorBidi" w:hAnsiTheme="majorBidi" w:cstheme="majorBidi"/>
        </w:rPr>
        <w:t>.</w:t>
      </w:r>
    </w:p>
    <w:p w14:paraId="7FD963FB" w14:textId="77777777" w:rsidR="0053503F" w:rsidRPr="0053503F" w:rsidRDefault="0053503F" w:rsidP="0053503F">
      <w:pPr>
        <w:bidi/>
        <w:rPr>
          <w:rFonts w:asciiTheme="majorBidi" w:hAnsiTheme="majorBidi" w:cstheme="majorBidi"/>
          <w:rtl/>
        </w:rPr>
      </w:pPr>
      <w:r w:rsidRPr="0053503F">
        <w:rPr>
          <w:rFonts w:asciiTheme="majorBidi" w:hAnsiTheme="majorBidi" w:cstheme="majorBidi"/>
          <w:rtl/>
        </w:rPr>
        <w:t xml:space="preserve">ومن هنا، تقدم </w:t>
      </w:r>
      <w:r w:rsidRPr="0053503F">
        <w:rPr>
          <w:rFonts w:asciiTheme="majorBidi" w:hAnsiTheme="majorBidi" w:cstheme="majorBidi"/>
          <w:b/>
          <w:bCs/>
          <w:rtl/>
        </w:rPr>
        <w:t>عملية "الفارس الشهم 3</w:t>
      </w:r>
      <w:r w:rsidRPr="0053503F">
        <w:rPr>
          <w:rFonts w:asciiTheme="majorBidi" w:hAnsiTheme="majorBidi" w:cstheme="majorBidi"/>
          <w:b/>
          <w:bCs/>
        </w:rPr>
        <w:t>"</w:t>
      </w:r>
      <w:r w:rsidRPr="0053503F">
        <w:rPr>
          <w:rFonts w:asciiTheme="majorBidi" w:hAnsiTheme="majorBidi" w:cstheme="majorBidi"/>
        </w:rPr>
        <w:t xml:space="preserve"> </w:t>
      </w:r>
      <w:r w:rsidRPr="0053503F">
        <w:rPr>
          <w:rFonts w:asciiTheme="majorBidi" w:hAnsiTheme="majorBidi" w:cstheme="majorBidi"/>
          <w:rtl/>
        </w:rPr>
        <w:t xml:space="preserve">مثالًا عمليًا على أن المبادرات الإقليمية تحقق أكبر أثر عندما تُبنى على مبدأ </w:t>
      </w:r>
      <w:r w:rsidRPr="0053503F">
        <w:rPr>
          <w:rFonts w:asciiTheme="majorBidi" w:hAnsiTheme="majorBidi" w:cstheme="majorBidi"/>
          <w:b/>
          <w:bCs/>
          <w:rtl/>
        </w:rPr>
        <w:t>الشراكة مع المؤسسات الوطنية</w:t>
      </w:r>
      <w:r w:rsidRPr="0053503F">
        <w:rPr>
          <w:rFonts w:asciiTheme="majorBidi" w:hAnsiTheme="majorBidi" w:cstheme="majorBidi"/>
          <w:rtl/>
        </w:rPr>
        <w:t xml:space="preserve">، وتستجيب لأولوياتها التشغيلية، وتتكامل مع جهودها، وهو ما يتوافق مع النتيجة الرئيسة التي تخلص إليها هذه الورقة، وهي أن صمود النظام الصحي في أوقات النزاعات يعتمد على </w:t>
      </w:r>
      <w:r w:rsidRPr="0053503F">
        <w:rPr>
          <w:rFonts w:asciiTheme="majorBidi" w:hAnsiTheme="majorBidi" w:cstheme="majorBidi"/>
          <w:b/>
          <w:bCs/>
          <w:rtl/>
        </w:rPr>
        <w:t>تكامل الأدوار بين الفاعلين المحليين والإقليميين والدوليين</w:t>
      </w:r>
      <w:r w:rsidRPr="0053503F">
        <w:rPr>
          <w:rFonts w:asciiTheme="majorBidi" w:hAnsiTheme="majorBidi" w:cstheme="majorBidi"/>
          <w:rtl/>
        </w:rPr>
        <w:t>، وليس على جهود أي طرف منفرد</w:t>
      </w:r>
      <w:r w:rsidRPr="0053503F">
        <w:rPr>
          <w:rFonts w:asciiTheme="majorBidi" w:hAnsiTheme="majorBidi" w:cstheme="majorBidi"/>
        </w:rPr>
        <w:t>.</w:t>
      </w:r>
    </w:p>
    <w:p w14:paraId="58400749" w14:textId="77F921C9" w:rsidR="004408C9" w:rsidRPr="0053503F" w:rsidRDefault="004408C9" w:rsidP="004408C9">
      <w:pPr>
        <w:bidi/>
        <w:rPr>
          <w:rFonts w:asciiTheme="majorBidi" w:hAnsiTheme="majorBidi" w:cstheme="majorBidi"/>
        </w:rPr>
      </w:pPr>
    </w:p>
    <w:p w14:paraId="2B646C97" w14:textId="77777777" w:rsidR="004408C9" w:rsidRPr="0053503F" w:rsidRDefault="004408C9" w:rsidP="004408C9">
      <w:pPr>
        <w:bidi/>
        <w:rPr>
          <w:rFonts w:asciiTheme="majorBidi" w:hAnsiTheme="majorBidi" w:cstheme="majorBidi"/>
          <w:b/>
          <w:bCs/>
        </w:rPr>
      </w:pPr>
      <w:r w:rsidRPr="0053503F">
        <w:rPr>
          <w:rFonts w:asciiTheme="majorBidi" w:hAnsiTheme="majorBidi" w:cstheme="majorBidi"/>
          <w:b/>
          <w:bCs/>
          <w:rtl/>
        </w:rPr>
        <w:t>التحديات: نجاح تحقق رغم بيئة شديدة التعقيد</w:t>
      </w:r>
    </w:p>
    <w:p w14:paraId="46A69401"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ورغم ما تحقق من إنجازات، فإن الاستجابة الإنسانية واجهت تحديات غير مسبوقة</w:t>
      </w:r>
      <w:r w:rsidRPr="0053503F">
        <w:rPr>
          <w:rFonts w:asciiTheme="majorBidi" w:hAnsiTheme="majorBidi" w:cstheme="majorBidi"/>
        </w:rPr>
        <w:t>.</w:t>
      </w:r>
    </w:p>
    <w:p w14:paraId="7F88B836"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 xml:space="preserve">فالتحدي الأول كان </w:t>
      </w:r>
      <w:r w:rsidRPr="0053503F">
        <w:rPr>
          <w:rFonts w:asciiTheme="majorBidi" w:hAnsiTheme="majorBidi" w:cstheme="majorBidi"/>
          <w:b/>
          <w:bCs/>
          <w:rtl/>
        </w:rPr>
        <w:t>التحدي الأمني</w:t>
      </w:r>
      <w:r w:rsidRPr="0053503F">
        <w:rPr>
          <w:rFonts w:asciiTheme="majorBidi" w:hAnsiTheme="majorBidi" w:cstheme="majorBidi"/>
        </w:rPr>
        <w:t xml:space="preserve">. </w:t>
      </w:r>
      <w:r w:rsidRPr="0053503F">
        <w:rPr>
          <w:rFonts w:asciiTheme="majorBidi" w:hAnsiTheme="majorBidi" w:cstheme="majorBidi"/>
          <w:rtl/>
        </w:rPr>
        <w:t>إذ لم تقتصر العمليات العسكرية على زيادة الاحتياجات الصحية، بل أثرت بصورة مباشرة في قدرة المؤسسات على تقديم خدماتها، نتيجة استهداف المرافق الصحية، وتكرار أوامر الإخلاء، وصعوبة حركة سيارات الإسعاف والفرق الطبية</w:t>
      </w:r>
      <w:r w:rsidRPr="0053503F">
        <w:rPr>
          <w:rFonts w:asciiTheme="majorBidi" w:hAnsiTheme="majorBidi" w:cstheme="majorBidi"/>
        </w:rPr>
        <w:t>.</w:t>
      </w:r>
    </w:p>
    <w:p w14:paraId="3B0FE541"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 xml:space="preserve">أما التحدي الثاني فكان </w:t>
      </w:r>
      <w:r w:rsidRPr="0053503F">
        <w:rPr>
          <w:rFonts w:asciiTheme="majorBidi" w:hAnsiTheme="majorBidi" w:cstheme="majorBidi"/>
          <w:b/>
          <w:bCs/>
          <w:rtl/>
        </w:rPr>
        <w:t>التحدي التشغيلي</w:t>
      </w:r>
      <w:r w:rsidRPr="0053503F">
        <w:rPr>
          <w:rFonts w:asciiTheme="majorBidi" w:hAnsiTheme="majorBidi" w:cstheme="majorBidi"/>
          <w:rtl/>
        </w:rPr>
        <w:t>، والمتمثل في النقص المزمن في الوقود والكهرباء والمياه والاتصالات، وهي عناصر لا غنى عنها لتشغيل المستشفيات والمختبرات وبنوك الدم وسلسلة التبريد الخاصة بالأدوية واللقاحات</w:t>
      </w:r>
      <w:r w:rsidRPr="0053503F">
        <w:rPr>
          <w:rFonts w:asciiTheme="majorBidi" w:hAnsiTheme="majorBidi" w:cstheme="majorBidi"/>
        </w:rPr>
        <w:t>.</w:t>
      </w:r>
    </w:p>
    <w:p w14:paraId="6BDACF58"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كما واجهت المؤسسات تحديات لوجستية كبيرة تمثلت في القيود المفروضة على إدخال الأدوية والمستلزمات الطبية والمعدات، الأمر الذي انعكس على استمرارية عدد من الخدمات التخصصية</w:t>
      </w:r>
      <w:r w:rsidRPr="0053503F">
        <w:rPr>
          <w:rFonts w:asciiTheme="majorBidi" w:hAnsiTheme="majorBidi" w:cstheme="majorBidi"/>
        </w:rPr>
        <w:t>.</w:t>
      </w:r>
    </w:p>
    <w:p w14:paraId="44514FEA"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ولم تكن الموارد البشرية بمنأى عن هذه التحديات. فقد عملت الطواقم الصحية تحت ضغط نفسي وجسدي هائل، مع استمرار النزوح، وفقدان عدد كبير من الزملاء، واضطرار الكثيرين إلى العمل لساعات طويلة في ظل ظروف بالغة الخطورة</w:t>
      </w:r>
      <w:r w:rsidRPr="0053503F">
        <w:rPr>
          <w:rFonts w:asciiTheme="majorBidi" w:hAnsiTheme="majorBidi" w:cstheme="majorBidi"/>
        </w:rPr>
        <w:t>.</w:t>
      </w:r>
    </w:p>
    <w:p w14:paraId="7E73A20A"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ويضاف إلى ذلك التحدي المرتبط بالتمويل، حيث اعتمدت كثير من التدخلات على تمويل قصير الأجل، بينما كانت الأزمة تتطلب تمويلًا أكثر مرونة يسمح للمؤسسات بإعادة توجيه الموارد وفق الاحتياجات المتغيرة بصورة مستمرة</w:t>
      </w:r>
      <w:r w:rsidRPr="0053503F">
        <w:rPr>
          <w:rFonts w:asciiTheme="majorBidi" w:hAnsiTheme="majorBidi" w:cstheme="majorBidi"/>
        </w:rPr>
        <w:t>.</w:t>
      </w:r>
    </w:p>
    <w:p w14:paraId="351C5843"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ورغم تعدد هذه التحديات، فإن التجربة أثبتت أن المؤسسات التي تمتعت بمرونة إدارية، وشراكات قوية، وكوادر وطنية مؤهلة، كانت أكثر قدرة على مواصلة العمل مقارنة بغيرها</w:t>
      </w:r>
      <w:r w:rsidRPr="0053503F">
        <w:rPr>
          <w:rFonts w:asciiTheme="majorBidi" w:hAnsiTheme="majorBidi" w:cstheme="majorBidi"/>
        </w:rPr>
        <w:t>.</w:t>
      </w:r>
    </w:p>
    <w:p w14:paraId="1B72DB48" w14:textId="2B9220B8" w:rsidR="004408C9" w:rsidRPr="0053503F" w:rsidRDefault="004408C9" w:rsidP="004408C9">
      <w:pPr>
        <w:bidi/>
        <w:rPr>
          <w:rFonts w:asciiTheme="majorBidi" w:hAnsiTheme="majorBidi" w:cstheme="majorBidi"/>
        </w:rPr>
      </w:pPr>
    </w:p>
    <w:p w14:paraId="205323F0" w14:textId="77777777" w:rsidR="004408C9" w:rsidRPr="0053503F" w:rsidRDefault="004408C9" w:rsidP="004408C9">
      <w:pPr>
        <w:bidi/>
        <w:rPr>
          <w:rFonts w:asciiTheme="majorBidi" w:hAnsiTheme="majorBidi" w:cstheme="majorBidi"/>
          <w:b/>
          <w:bCs/>
        </w:rPr>
      </w:pPr>
      <w:r w:rsidRPr="0053503F">
        <w:rPr>
          <w:rFonts w:asciiTheme="majorBidi" w:hAnsiTheme="majorBidi" w:cstheme="majorBidi"/>
          <w:b/>
          <w:bCs/>
          <w:rtl/>
        </w:rPr>
        <w:t>نحو نموذج للتكامل في الاستجابة الصحية</w:t>
      </w:r>
    </w:p>
    <w:p w14:paraId="30966C4E"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 xml:space="preserve">وتقودنا هذه الملاحظات إلى إحدى أهم نتائج هذه الدراسة، وهي أن استمرارية الخدمات الصحية في قطاع غزة لم تكن نتيجة أداء مؤسسة واحدة، بل كانت حصيلة </w:t>
      </w:r>
      <w:r w:rsidRPr="0053503F">
        <w:rPr>
          <w:rFonts w:asciiTheme="majorBidi" w:hAnsiTheme="majorBidi" w:cstheme="majorBidi"/>
          <w:b/>
          <w:bCs/>
          <w:rtl/>
        </w:rPr>
        <w:t>نموذج تكاملي</w:t>
      </w:r>
      <w:r w:rsidRPr="0053503F">
        <w:rPr>
          <w:rFonts w:asciiTheme="majorBidi" w:hAnsiTheme="majorBidi" w:cstheme="majorBidi"/>
          <w:rtl/>
        </w:rPr>
        <w:t xml:space="preserve"> تشكل بصورة عملية خلال الأزمة</w:t>
      </w:r>
      <w:r w:rsidRPr="0053503F">
        <w:rPr>
          <w:rFonts w:asciiTheme="majorBidi" w:hAnsiTheme="majorBidi" w:cstheme="majorBidi"/>
        </w:rPr>
        <w:t>.</w:t>
      </w:r>
    </w:p>
    <w:p w14:paraId="15C5B611"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 xml:space="preserve">في هذا النموذج، اضطلعت </w:t>
      </w:r>
      <w:r w:rsidRPr="0053503F">
        <w:rPr>
          <w:rFonts w:asciiTheme="majorBidi" w:hAnsiTheme="majorBidi" w:cstheme="majorBidi"/>
          <w:b/>
          <w:bCs/>
          <w:rtl/>
        </w:rPr>
        <w:t>وزارة الصحة الفلسطينية</w:t>
      </w:r>
      <w:r w:rsidRPr="0053503F">
        <w:rPr>
          <w:rFonts w:asciiTheme="majorBidi" w:hAnsiTheme="majorBidi" w:cstheme="majorBidi"/>
          <w:rtl/>
        </w:rPr>
        <w:t xml:space="preserve"> بدور القيادة الفنية للنظام الصحي، واستمرت في تشغيل المستشفيات الحكومية، وإدارة خدمات الإحالة، ووضع الأولويات الصحية وفق الإمكانات المتاحة</w:t>
      </w:r>
      <w:r w:rsidRPr="0053503F">
        <w:rPr>
          <w:rFonts w:asciiTheme="majorBidi" w:hAnsiTheme="majorBidi" w:cstheme="majorBidi"/>
        </w:rPr>
        <w:t>.</w:t>
      </w:r>
    </w:p>
    <w:p w14:paraId="5CE679D3"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 xml:space="preserve">وفي الوقت نفسه، تولى </w:t>
      </w:r>
      <w:r w:rsidRPr="0053503F">
        <w:rPr>
          <w:rFonts w:asciiTheme="majorBidi" w:hAnsiTheme="majorBidi" w:cstheme="majorBidi"/>
          <w:b/>
          <w:bCs/>
          <w:rtl/>
        </w:rPr>
        <w:t>القطاع الأهلي</w:t>
      </w:r>
      <w:r w:rsidRPr="0053503F">
        <w:rPr>
          <w:rFonts w:asciiTheme="majorBidi" w:hAnsiTheme="majorBidi" w:cstheme="majorBidi"/>
          <w:rtl/>
        </w:rPr>
        <w:t xml:space="preserve"> تشغيل المستشفيات الأهلية، ومراكز الرعاية الصحية الأولية، والعيادات المتنقلة، والوصول إلى المجتمعات المحلية، مع توفير طيف واسع من الخدمات العلاجية والوقائية والتأهيلية</w:t>
      </w:r>
      <w:r w:rsidRPr="0053503F">
        <w:rPr>
          <w:rFonts w:asciiTheme="majorBidi" w:hAnsiTheme="majorBidi" w:cstheme="majorBidi"/>
        </w:rPr>
        <w:t>.</w:t>
      </w:r>
    </w:p>
    <w:p w14:paraId="10DC70B7"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 xml:space="preserve">أما </w:t>
      </w:r>
      <w:r w:rsidRPr="0053503F">
        <w:rPr>
          <w:rFonts w:asciiTheme="majorBidi" w:hAnsiTheme="majorBidi" w:cstheme="majorBidi"/>
          <w:b/>
          <w:bCs/>
          <w:rtl/>
        </w:rPr>
        <w:t>المبادرات الإقليمية</w:t>
      </w:r>
      <w:r w:rsidRPr="0053503F">
        <w:rPr>
          <w:rFonts w:asciiTheme="majorBidi" w:hAnsiTheme="majorBidi" w:cstheme="majorBidi"/>
          <w:rtl/>
        </w:rPr>
        <w:t>، فقد وفرت موارد تشغيلية أساسية، شملت المستشفيات الميدانية، والإمدادات الطبية، والفرق المتخصصة، وبرامج الإجلاء الطبي، بما عزز قدرة المؤسسات الوطنية على الاستمرار</w:t>
      </w:r>
      <w:r w:rsidRPr="0053503F">
        <w:rPr>
          <w:rFonts w:asciiTheme="majorBidi" w:hAnsiTheme="majorBidi" w:cstheme="majorBidi"/>
        </w:rPr>
        <w:t>.</w:t>
      </w:r>
    </w:p>
    <w:p w14:paraId="73DCE6E2"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 xml:space="preserve">وفي المقابل، أدت </w:t>
      </w:r>
      <w:r w:rsidRPr="0053503F">
        <w:rPr>
          <w:rFonts w:asciiTheme="majorBidi" w:hAnsiTheme="majorBidi" w:cstheme="majorBidi"/>
          <w:b/>
          <w:bCs/>
          <w:rtl/>
        </w:rPr>
        <w:t>وكالات الأمم المتحدة والمنظمات الدولية</w:t>
      </w:r>
      <w:r w:rsidRPr="0053503F">
        <w:rPr>
          <w:rFonts w:asciiTheme="majorBidi" w:hAnsiTheme="majorBidi" w:cstheme="majorBidi"/>
          <w:rtl/>
        </w:rPr>
        <w:t xml:space="preserve"> دورًا محوريًا في التنسيق بين مختلف الفاعلين، وتعبئة الموارد، وتقديم الدعم الفني، وتعزيز آليات العمل ضمن إطار مجموعة الصحة وغيرها من آليات التنسيق الإنسانية</w:t>
      </w:r>
      <w:r w:rsidRPr="0053503F">
        <w:rPr>
          <w:rFonts w:asciiTheme="majorBidi" w:hAnsiTheme="majorBidi" w:cstheme="majorBidi"/>
        </w:rPr>
        <w:t>.</w:t>
      </w:r>
    </w:p>
    <w:p w14:paraId="7C925419" w14:textId="77777777" w:rsidR="004408C9" w:rsidRPr="0053503F" w:rsidRDefault="004408C9" w:rsidP="004408C9">
      <w:pPr>
        <w:bidi/>
        <w:rPr>
          <w:rFonts w:asciiTheme="majorBidi" w:hAnsiTheme="majorBidi" w:cstheme="majorBidi"/>
        </w:rPr>
      </w:pPr>
      <w:r w:rsidRPr="0053503F">
        <w:rPr>
          <w:rFonts w:asciiTheme="majorBidi" w:hAnsiTheme="majorBidi" w:cstheme="majorBidi"/>
          <w:rtl/>
        </w:rPr>
        <w:t>إن أهمية هذا النموذج لا تكمن فقط في تفسير ما حدث في غزة، بل في كونه يقدم إطارًا يمكن الاستفادة منه في مناطق نزاع أخرى. فهو يؤكد أن صمود النظام الصحي لا يتحقق بوجود جهة واحدة قوية، وإنما بوجود شبكة من المؤسسات المتكاملة، تتوزع فيها الأدوار والمسؤوليات بصورة مرنة، بما يسمح للنظام الصحي بالاستمرار حتى في أشد الظروف قسوة</w:t>
      </w:r>
      <w:r w:rsidRPr="0053503F">
        <w:rPr>
          <w:rFonts w:asciiTheme="majorBidi" w:hAnsiTheme="majorBidi" w:cstheme="majorBidi"/>
        </w:rPr>
        <w:t>.</w:t>
      </w:r>
    </w:p>
    <w:p w14:paraId="7375F140" w14:textId="18239510" w:rsidR="0053503F" w:rsidRPr="0053503F" w:rsidRDefault="0053503F" w:rsidP="0053503F">
      <w:pPr>
        <w:bidi/>
        <w:rPr>
          <w:rFonts w:asciiTheme="majorBidi" w:hAnsiTheme="majorBidi" w:cstheme="majorBidi"/>
          <w:b/>
          <w:bCs/>
        </w:rPr>
      </w:pPr>
      <w:r>
        <w:rPr>
          <w:rFonts w:asciiTheme="majorBidi" w:hAnsiTheme="majorBidi" w:cstheme="majorBidi" w:hint="cs"/>
          <w:b/>
          <w:bCs/>
          <w:rtl/>
        </w:rPr>
        <w:t>ا</w:t>
      </w:r>
      <w:r w:rsidRPr="0053503F">
        <w:rPr>
          <w:rFonts w:asciiTheme="majorBidi" w:hAnsiTheme="majorBidi" w:cstheme="majorBidi"/>
          <w:b/>
          <w:bCs/>
          <w:rtl/>
        </w:rPr>
        <w:t>لدروس المستفادة</w:t>
      </w:r>
    </w:p>
    <w:p w14:paraId="0EB5080F"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السيدات والسادة</w:t>
      </w:r>
      <w:r w:rsidRPr="0053503F">
        <w:rPr>
          <w:rFonts w:asciiTheme="majorBidi" w:hAnsiTheme="majorBidi" w:cstheme="majorBidi"/>
        </w:rPr>
        <w:t>...</w:t>
      </w:r>
    </w:p>
    <w:p w14:paraId="5202D8D4"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لا تكمن أهمية تجربة قطاع غزة في أنها توثق واحدة من أعنف الأزمات الإنسانية في العصر الحديث فحسب، وإنما في أنها تقدم مجموعة من الدروس التي يمكن أن تسهم في تطوير سياسات الاستجابة الصحية في مناطق النزاعات حول العالم</w:t>
      </w:r>
      <w:r w:rsidRPr="0053503F">
        <w:rPr>
          <w:rFonts w:asciiTheme="majorBidi" w:hAnsiTheme="majorBidi" w:cstheme="majorBidi"/>
        </w:rPr>
        <w:t>.</w:t>
      </w:r>
    </w:p>
    <w:p w14:paraId="52450B64"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 xml:space="preserve">وأول هذه الدروس هو أن </w:t>
      </w:r>
      <w:r w:rsidRPr="0053503F">
        <w:rPr>
          <w:rFonts w:asciiTheme="majorBidi" w:hAnsiTheme="majorBidi" w:cstheme="majorBidi"/>
          <w:b/>
          <w:bCs/>
          <w:rtl/>
        </w:rPr>
        <w:t>المؤسسات الوطنية ليست مجرد شريك في الاستجابة الإنسانية، بل هي أساس استدامتها</w:t>
      </w:r>
      <w:r w:rsidRPr="0053503F">
        <w:rPr>
          <w:rFonts w:asciiTheme="majorBidi" w:hAnsiTheme="majorBidi" w:cstheme="majorBidi"/>
        </w:rPr>
        <w:t xml:space="preserve">. </w:t>
      </w:r>
      <w:r w:rsidRPr="0053503F">
        <w:rPr>
          <w:rFonts w:asciiTheme="majorBidi" w:hAnsiTheme="majorBidi" w:cstheme="majorBidi"/>
          <w:rtl/>
        </w:rPr>
        <w:t>فقد أثبتت التجربة أن المؤسسات التي تمتلك حضورًا مجتمعيًا، وكوادر وطنية، وخبرة تراكمية، كانت الأكثر قدرة على الاستمرار والتكيف، حتى في ظل انهيار أجزاء واسعة من البنية التحتية الصحية</w:t>
      </w:r>
      <w:r w:rsidRPr="0053503F">
        <w:rPr>
          <w:rFonts w:asciiTheme="majorBidi" w:hAnsiTheme="majorBidi" w:cstheme="majorBidi"/>
        </w:rPr>
        <w:t>.</w:t>
      </w:r>
    </w:p>
    <w:p w14:paraId="3DD2D505"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 xml:space="preserve">أما الدرس الثاني، فيتمثل في أن </w:t>
      </w:r>
      <w:r w:rsidRPr="0053503F">
        <w:rPr>
          <w:rFonts w:asciiTheme="majorBidi" w:hAnsiTheme="majorBidi" w:cstheme="majorBidi"/>
          <w:b/>
          <w:bCs/>
          <w:rtl/>
        </w:rPr>
        <w:t>المرونة المؤسسية أصبحت عنصرًا لا يقل أهمية عن الموارد المالية</w:t>
      </w:r>
      <w:r w:rsidRPr="0053503F">
        <w:rPr>
          <w:rFonts w:asciiTheme="majorBidi" w:hAnsiTheme="majorBidi" w:cstheme="majorBidi"/>
        </w:rPr>
        <w:t xml:space="preserve">. </w:t>
      </w:r>
      <w:r w:rsidRPr="0053503F">
        <w:rPr>
          <w:rFonts w:asciiTheme="majorBidi" w:hAnsiTheme="majorBidi" w:cstheme="majorBidi"/>
          <w:rtl/>
        </w:rPr>
        <w:t>فالقدرة على إعادة توزيع الكوادر، ونقل الخدمات إلى مواقع بديلة، وتعديل نماذج تقديم الخدمة، كانت من أهم عوامل النجاح في الحفاظ على استمرارية الخدمات الصحية</w:t>
      </w:r>
      <w:r w:rsidRPr="0053503F">
        <w:rPr>
          <w:rFonts w:asciiTheme="majorBidi" w:hAnsiTheme="majorBidi" w:cstheme="majorBidi"/>
        </w:rPr>
        <w:t>.</w:t>
      </w:r>
    </w:p>
    <w:p w14:paraId="5C42E48D"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 xml:space="preserve">ويتمثل الدرس الثالث في أن </w:t>
      </w:r>
      <w:r w:rsidRPr="0053503F">
        <w:rPr>
          <w:rFonts w:asciiTheme="majorBidi" w:hAnsiTheme="majorBidi" w:cstheme="majorBidi"/>
          <w:b/>
          <w:bCs/>
          <w:rtl/>
        </w:rPr>
        <w:t>التكامل بين الفاعلين أكثر أهمية من تعددهم</w:t>
      </w:r>
      <w:r w:rsidRPr="0053503F">
        <w:rPr>
          <w:rFonts w:asciiTheme="majorBidi" w:hAnsiTheme="majorBidi" w:cstheme="majorBidi"/>
        </w:rPr>
        <w:t xml:space="preserve">. </w:t>
      </w:r>
      <w:r w:rsidRPr="0053503F">
        <w:rPr>
          <w:rFonts w:asciiTheme="majorBidi" w:hAnsiTheme="majorBidi" w:cstheme="majorBidi"/>
          <w:rtl/>
        </w:rPr>
        <w:t>فقد أظهرت التجربة أن وجود مؤسسات عديدة لا يضمن نجاح الاستجابة ما لم تكن هناك آليات واضحة للتنسيق وتقاسم الأدوار وتبادل المعلومات والموارد</w:t>
      </w:r>
      <w:r w:rsidRPr="0053503F">
        <w:rPr>
          <w:rFonts w:asciiTheme="majorBidi" w:hAnsiTheme="majorBidi" w:cstheme="majorBidi"/>
        </w:rPr>
        <w:t>.</w:t>
      </w:r>
    </w:p>
    <w:p w14:paraId="0D46D6DC"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 xml:space="preserve">أما الدرس الرابع، فهو أن </w:t>
      </w:r>
      <w:r w:rsidRPr="0053503F">
        <w:rPr>
          <w:rFonts w:asciiTheme="majorBidi" w:hAnsiTheme="majorBidi" w:cstheme="majorBidi"/>
          <w:b/>
          <w:bCs/>
          <w:rtl/>
        </w:rPr>
        <w:t>المبادرات الإقليمية تحقق أكبر أثر عندما تعزز القدرات الوطنية ولا تحل محلها</w:t>
      </w:r>
      <w:r w:rsidRPr="0053503F">
        <w:rPr>
          <w:rFonts w:asciiTheme="majorBidi" w:hAnsiTheme="majorBidi" w:cstheme="majorBidi"/>
        </w:rPr>
        <w:t xml:space="preserve">. </w:t>
      </w:r>
      <w:r w:rsidRPr="0053503F">
        <w:rPr>
          <w:rFonts w:asciiTheme="majorBidi" w:hAnsiTheme="majorBidi" w:cstheme="majorBidi"/>
          <w:rtl/>
        </w:rPr>
        <w:t>فالمساعدات الأكثر فاعلية كانت تلك التي دعمت المؤسسات الصحية الفلسطينية، وعززت قدرتها على مواصلة تقديم الخدمات، بدلًا من إنشاء مسارات موازية قد تؤدي إلى ازدواجية الجهود أو إضعاف المؤسسات المحلية</w:t>
      </w:r>
      <w:r w:rsidRPr="0053503F">
        <w:rPr>
          <w:rFonts w:asciiTheme="majorBidi" w:hAnsiTheme="majorBidi" w:cstheme="majorBidi"/>
        </w:rPr>
        <w:t>.</w:t>
      </w:r>
    </w:p>
    <w:p w14:paraId="71AD5D08"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 xml:space="preserve">وأخيرًا، تؤكد التجربة أن </w:t>
      </w:r>
      <w:r w:rsidRPr="0053503F">
        <w:rPr>
          <w:rFonts w:asciiTheme="majorBidi" w:hAnsiTheme="majorBidi" w:cstheme="majorBidi"/>
          <w:b/>
          <w:bCs/>
          <w:rtl/>
        </w:rPr>
        <w:t>حماية المرافق الصحية والعاملين الصحيين ليست قضية قانونية أو أخلاقية فحسب، وإنما شرط أساسي لاستمرار أي نظام صحي أثناء النزاعات المسلحة</w:t>
      </w:r>
      <w:r w:rsidRPr="0053503F">
        <w:rPr>
          <w:rFonts w:asciiTheme="majorBidi" w:hAnsiTheme="majorBidi" w:cstheme="majorBidi"/>
        </w:rPr>
        <w:t xml:space="preserve">. </w:t>
      </w:r>
      <w:r w:rsidRPr="0053503F">
        <w:rPr>
          <w:rFonts w:asciiTheme="majorBidi" w:hAnsiTheme="majorBidi" w:cstheme="majorBidi"/>
          <w:rtl/>
        </w:rPr>
        <w:t>فكل مستشفى يخرج عن الخدمة، وكل طبيب أو ممرض يُفقد، ينعكس أثره مباشرة على قدرة السكان في الوصول إلى الرعاية الصحية المنقذة للحياة</w:t>
      </w:r>
      <w:r w:rsidRPr="0053503F">
        <w:rPr>
          <w:rFonts w:asciiTheme="majorBidi" w:hAnsiTheme="majorBidi" w:cstheme="majorBidi"/>
        </w:rPr>
        <w:t>.</w:t>
      </w:r>
    </w:p>
    <w:p w14:paraId="22D6F511" w14:textId="281A56C3" w:rsidR="0053503F" w:rsidRPr="0053503F" w:rsidRDefault="0053503F" w:rsidP="0053503F">
      <w:pPr>
        <w:bidi/>
        <w:rPr>
          <w:rFonts w:asciiTheme="majorBidi" w:hAnsiTheme="majorBidi" w:cstheme="majorBidi"/>
        </w:rPr>
      </w:pPr>
    </w:p>
    <w:p w14:paraId="2B845C14" w14:textId="77777777" w:rsidR="0053503F" w:rsidRPr="0053503F" w:rsidRDefault="0053503F" w:rsidP="0053503F">
      <w:pPr>
        <w:bidi/>
        <w:rPr>
          <w:rFonts w:asciiTheme="majorBidi" w:hAnsiTheme="majorBidi" w:cstheme="majorBidi"/>
          <w:b/>
          <w:bCs/>
        </w:rPr>
      </w:pPr>
      <w:r w:rsidRPr="0053503F">
        <w:rPr>
          <w:rFonts w:asciiTheme="majorBidi" w:hAnsiTheme="majorBidi" w:cstheme="majorBidi"/>
          <w:b/>
          <w:bCs/>
          <w:rtl/>
        </w:rPr>
        <w:t>التوصيات</w:t>
      </w:r>
    </w:p>
    <w:p w14:paraId="0FCD2903"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وانطلاقًا من هذه الدروس، تقترح الورقة عددًا من التوصيات التي يمكن أن تسهم في تعزيز جاهزية النظم الصحية في البيئات المتأثرة بالنزاعات</w:t>
      </w:r>
      <w:r w:rsidRPr="0053503F">
        <w:rPr>
          <w:rFonts w:asciiTheme="majorBidi" w:hAnsiTheme="majorBidi" w:cstheme="majorBidi"/>
        </w:rPr>
        <w:t>.</w:t>
      </w:r>
    </w:p>
    <w:p w14:paraId="4CAAFEFA"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 xml:space="preserve">أولًا، </w:t>
      </w:r>
      <w:r w:rsidRPr="0053503F">
        <w:rPr>
          <w:rFonts w:asciiTheme="majorBidi" w:hAnsiTheme="majorBidi" w:cstheme="majorBidi"/>
          <w:b/>
          <w:bCs/>
          <w:rtl/>
        </w:rPr>
        <w:t>تعزيز الاستثمار في المؤسسات الصحية الوطنية</w:t>
      </w:r>
      <w:r w:rsidRPr="0053503F">
        <w:rPr>
          <w:rFonts w:asciiTheme="majorBidi" w:hAnsiTheme="majorBidi" w:cstheme="majorBidi"/>
          <w:rtl/>
        </w:rPr>
        <w:t xml:space="preserve"> باعتبارها الفاعل الأكثر قدرة على الاستمرار والوصول إلى المجتمعات المحلية أثناء الأزمات</w:t>
      </w:r>
      <w:r w:rsidRPr="0053503F">
        <w:rPr>
          <w:rFonts w:asciiTheme="majorBidi" w:hAnsiTheme="majorBidi" w:cstheme="majorBidi"/>
        </w:rPr>
        <w:t>.</w:t>
      </w:r>
    </w:p>
    <w:p w14:paraId="5704A113"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 xml:space="preserve">ثانيًا، </w:t>
      </w:r>
      <w:r w:rsidRPr="0053503F">
        <w:rPr>
          <w:rFonts w:asciiTheme="majorBidi" w:hAnsiTheme="majorBidi" w:cstheme="majorBidi"/>
          <w:b/>
          <w:bCs/>
          <w:rtl/>
        </w:rPr>
        <w:t>تطوير شراكات مؤسسية مستدامة</w:t>
      </w:r>
      <w:r w:rsidRPr="0053503F">
        <w:rPr>
          <w:rFonts w:asciiTheme="majorBidi" w:hAnsiTheme="majorBidi" w:cstheme="majorBidi"/>
          <w:rtl/>
        </w:rPr>
        <w:t xml:space="preserve"> بين الحكومات، والقطاع الأهلي، والمبادرات الإقليمية، والمنظمات الدولية، بحيث تُبنى هذه الشراكات قبل وقوع الأزمات، وليس أثناءها</w:t>
      </w:r>
      <w:r w:rsidRPr="0053503F">
        <w:rPr>
          <w:rFonts w:asciiTheme="majorBidi" w:hAnsiTheme="majorBidi" w:cstheme="majorBidi"/>
        </w:rPr>
        <w:t>.</w:t>
      </w:r>
    </w:p>
    <w:p w14:paraId="67A43117"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 xml:space="preserve">ثالثًا، </w:t>
      </w:r>
      <w:r w:rsidRPr="0053503F">
        <w:rPr>
          <w:rFonts w:asciiTheme="majorBidi" w:hAnsiTheme="majorBidi" w:cstheme="majorBidi"/>
          <w:b/>
          <w:bCs/>
          <w:rtl/>
        </w:rPr>
        <w:t>إعادة تصميم آليات التمويل الإنساني</w:t>
      </w:r>
      <w:r w:rsidRPr="0053503F">
        <w:rPr>
          <w:rFonts w:asciiTheme="majorBidi" w:hAnsiTheme="majorBidi" w:cstheme="majorBidi"/>
          <w:rtl/>
        </w:rPr>
        <w:t xml:space="preserve"> لتكون أكثر مرونة واستجابة للمتغيرات الميدانية، بما يسمح للمؤسسات الوطنية بإعادة توجيه الموارد وفق الأولويات الصحية المتغيرة</w:t>
      </w:r>
      <w:r w:rsidRPr="0053503F">
        <w:rPr>
          <w:rFonts w:asciiTheme="majorBidi" w:hAnsiTheme="majorBidi" w:cstheme="majorBidi"/>
        </w:rPr>
        <w:t>.</w:t>
      </w:r>
    </w:p>
    <w:p w14:paraId="20FC1B5F"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 xml:space="preserve">رابعًا، </w:t>
      </w:r>
      <w:r w:rsidRPr="0053503F">
        <w:rPr>
          <w:rFonts w:asciiTheme="majorBidi" w:hAnsiTheme="majorBidi" w:cstheme="majorBidi"/>
          <w:b/>
          <w:bCs/>
          <w:rtl/>
        </w:rPr>
        <w:t>تعزيز التكامل بين المستشفيات الحكومية والأهلية والميدانية</w:t>
      </w:r>
      <w:r w:rsidRPr="0053503F">
        <w:rPr>
          <w:rFonts w:asciiTheme="majorBidi" w:hAnsiTheme="majorBidi" w:cstheme="majorBidi"/>
          <w:rtl/>
        </w:rPr>
        <w:t xml:space="preserve"> ضمن خطط استجابة وطنية موحدة، بما يضمن الاستخدام الأمثل للموارد، ويمنع الازدواجية، ويحسن الوصول إلى الخدمات الصحية</w:t>
      </w:r>
      <w:r w:rsidRPr="0053503F">
        <w:rPr>
          <w:rFonts w:asciiTheme="majorBidi" w:hAnsiTheme="majorBidi" w:cstheme="majorBidi"/>
        </w:rPr>
        <w:t>.</w:t>
      </w:r>
    </w:p>
    <w:p w14:paraId="02B2C117"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 xml:space="preserve">خامسًا، </w:t>
      </w:r>
      <w:r w:rsidRPr="0053503F">
        <w:rPr>
          <w:rFonts w:asciiTheme="majorBidi" w:hAnsiTheme="majorBidi" w:cstheme="majorBidi"/>
          <w:b/>
          <w:bCs/>
          <w:rtl/>
        </w:rPr>
        <w:t>إعطاء أولوية لإعادة تأهيل البنية التحتية الصحية وتنمية الموارد البشرية</w:t>
      </w:r>
      <w:r w:rsidRPr="0053503F">
        <w:rPr>
          <w:rFonts w:asciiTheme="majorBidi" w:hAnsiTheme="majorBidi" w:cstheme="majorBidi"/>
          <w:rtl/>
        </w:rPr>
        <w:t>، باعتبارهما الاستثمار الأكثر استدامة لتعزيز قدرة النظام الصحي على مواجهة الأزمات المستقبلية</w:t>
      </w:r>
      <w:r w:rsidRPr="0053503F">
        <w:rPr>
          <w:rFonts w:asciiTheme="majorBidi" w:hAnsiTheme="majorBidi" w:cstheme="majorBidi"/>
        </w:rPr>
        <w:t>.</w:t>
      </w:r>
    </w:p>
    <w:p w14:paraId="1EA63DF7"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 xml:space="preserve">وأخيرًا، </w:t>
      </w:r>
      <w:r w:rsidRPr="0053503F">
        <w:rPr>
          <w:rFonts w:asciiTheme="majorBidi" w:hAnsiTheme="majorBidi" w:cstheme="majorBidi"/>
          <w:b/>
          <w:bCs/>
          <w:rtl/>
        </w:rPr>
        <w:t>تعزيز الالتزام بالقانون الدولي الإنساني</w:t>
      </w:r>
      <w:r w:rsidRPr="0053503F">
        <w:rPr>
          <w:rFonts w:asciiTheme="majorBidi" w:hAnsiTheme="majorBidi" w:cstheme="majorBidi"/>
          <w:rtl/>
        </w:rPr>
        <w:t>، وضمان حماية المرافق الصحية والعاملين فيها، وتأمين وصول المساعدات الطبية دون عوائق، باعتبار ذلك شرطًا أساسيًا للحفاظ على الحق في الصحة أثناء النزاعات المسلحة</w:t>
      </w:r>
      <w:r w:rsidRPr="0053503F">
        <w:rPr>
          <w:rFonts w:asciiTheme="majorBidi" w:hAnsiTheme="majorBidi" w:cstheme="majorBidi"/>
        </w:rPr>
        <w:t>.</w:t>
      </w:r>
    </w:p>
    <w:p w14:paraId="6AA3DF75" w14:textId="157F496A" w:rsidR="0053503F" w:rsidRDefault="0053503F" w:rsidP="0053503F">
      <w:pPr>
        <w:bidi/>
        <w:rPr>
          <w:rFonts w:asciiTheme="majorBidi" w:hAnsiTheme="majorBidi" w:cstheme="majorBidi"/>
          <w:rtl/>
        </w:rPr>
      </w:pPr>
    </w:p>
    <w:p w14:paraId="047F3C1A" w14:textId="77777777" w:rsidR="0053503F" w:rsidRDefault="0053503F" w:rsidP="0053503F">
      <w:pPr>
        <w:bidi/>
        <w:rPr>
          <w:rFonts w:asciiTheme="majorBidi" w:hAnsiTheme="majorBidi" w:cstheme="majorBidi"/>
          <w:rtl/>
        </w:rPr>
      </w:pPr>
    </w:p>
    <w:p w14:paraId="208993F6" w14:textId="77777777" w:rsidR="0053503F" w:rsidRDefault="0053503F" w:rsidP="0053503F">
      <w:pPr>
        <w:bidi/>
        <w:rPr>
          <w:rFonts w:asciiTheme="majorBidi" w:hAnsiTheme="majorBidi" w:cstheme="majorBidi"/>
          <w:rtl/>
        </w:rPr>
      </w:pPr>
    </w:p>
    <w:p w14:paraId="26587A42" w14:textId="77777777" w:rsidR="0053503F" w:rsidRDefault="0053503F" w:rsidP="0053503F">
      <w:pPr>
        <w:bidi/>
        <w:rPr>
          <w:rFonts w:asciiTheme="majorBidi" w:hAnsiTheme="majorBidi" w:cstheme="majorBidi"/>
          <w:rtl/>
        </w:rPr>
      </w:pPr>
    </w:p>
    <w:p w14:paraId="427A3F77" w14:textId="77777777" w:rsidR="0053503F" w:rsidRPr="0053503F" w:rsidRDefault="0053503F" w:rsidP="0053503F">
      <w:pPr>
        <w:bidi/>
        <w:rPr>
          <w:rFonts w:asciiTheme="majorBidi" w:hAnsiTheme="majorBidi" w:cstheme="majorBidi"/>
        </w:rPr>
      </w:pPr>
    </w:p>
    <w:p w14:paraId="2BC07B39" w14:textId="77777777" w:rsidR="0053503F" w:rsidRPr="0053503F" w:rsidRDefault="0053503F" w:rsidP="0053503F">
      <w:pPr>
        <w:bidi/>
        <w:rPr>
          <w:rFonts w:asciiTheme="majorBidi" w:hAnsiTheme="majorBidi" w:cstheme="majorBidi"/>
          <w:b/>
          <w:bCs/>
        </w:rPr>
      </w:pPr>
      <w:r w:rsidRPr="0053503F">
        <w:rPr>
          <w:rFonts w:asciiTheme="majorBidi" w:hAnsiTheme="majorBidi" w:cstheme="majorBidi"/>
          <w:b/>
          <w:bCs/>
          <w:rtl/>
        </w:rPr>
        <w:t>الخاتمة</w:t>
      </w:r>
    </w:p>
    <w:p w14:paraId="12440CE1"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السيدات والسادة</w:t>
      </w:r>
      <w:r w:rsidRPr="0053503F">
        <w:rPr>
          <w:rFonts w:asciiTheme="majorBidi" w:hAnsiTheme="majorBidi" w:cstheme="majorBidi"/>
        </w:rPr>
        <w:t>...</w:t>
      </w:r>
    </w:p>
    <w:p w14:paraId="57AEDF0A"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لقد حاولت هذه الورقة أن تتجاوز توثيق ما حدث في قطاع غزة، لتقدم قراءة تحليلية لما يمكن أن نتعلمه من هذه التجربة</w:t>
      </w:r>
      <w:r w:rsidRPr="0053503F">
        <w:rPr>
          <w:rFonts w:asciiTheme="majorBidi" w:hAnsiTheme="majorBidi" w:cstheme="majorBidi"/>
        </w:rPr>
        <w:t>.</w:t>
      </w:r>
    </w:p>
    <w:p w14:paraId="6AAF7186"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 xml:space="preserve">فالرسالة الأساسية التي خلصت إليها الدراسة هي أن </w:t>
      </w:r>
      <w:r w:rsidRPr="0053503F">
        <w:rPr>
          <w:rFonts w:asciiTheme="majorBidi" w:hAnsiTheme="majorBidi" w:cstheme="majorBidi"/>
          <w:b/>
          <w:bCs/>
          <w:rtl/>
        </w:rPr>
        <w:t>صمود النظام الصحي لم يكن نتيجة وفرة الموارد، وإنما نتيجة تكامل الأدوار بين المؤسسات الوطنية، والمبادرات الإقليمية، والمنظمات الدولية، في ظل قيادة وطنية وجهود ميدانية استثنائية</w:t>
      </w:r>
      <w:r w:rsidRPr="0053503F">
        <w:rPr>
          <w:rFonts w:asciiTheme="majorBidi" w:hAnsiTheme="majorBidi" w:cstheme="majorBidi"/>
        </w:rPr>
        <w:t>.</w:t>
      </w:r>
    </w:p>
    <w:p w14:paraId="67A31B49"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لقد أثبتت المؤسسات الصحية الفلسطينية، الحكومية والأهلية، أن الاستثمار طويل الأمد في بناء القدرات المحلية يظل الضمانة الحقيقية لاستمرار الخدمات الصحية في أوقات الأزمات. وفي المقابل، برهنت المبادرات الإقليمية أن أثرها يكون أكبر عندما تنطلق من احتياجات المؤسسات الوطنية، وتعمل على دعمها وتعزيز قدرتها، لا على استبدالها</w:t>
      </w:r>
      <w:r w:rsidRPr="0053503F">
        <w:rPr>
          <w:rFonts w:asciiTheme="majorBidi" w:hAnsiTheme="majorBidi" w:cstheme="majorBidi"/>
        </w:rPr>
        <w:t>.</w:t>
      </w:r>
    </w:p>
    <w:p w14:paraId="775AB827"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ومن هنا، فإن التجربة الفلسطينية تقدم رسالة تتجاوز حدود غزة؛ مفادها أن بناء نظم صحية أكثر صمودًا لا يبدأ مع اندلاع الأزمات، بل يبدأ قبلها بسنوات، من خلال الاستثمار في المؤسسات الوطنية، وتعزيز الشراكات، وتطوير آليات التمويل، وحماية المرافق الصحية والعاملين فيها</w:t>
      </w:r>
      <w:r w:rsidRPr="0053503F">
        <w:rPr>
          <w:rFonts w:asciiTheme="majorBidi" w:hAnsiTheme="majorBidi" w:cstheme="majorBidi"/>
        </w:rPr>
        <w:t>.</w:t>
      </w:r>
    </w:p>
    <w:p w14:paraId="6E579AF0"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إن غزة لم تقدم للعالم درسًا في حجم المأساة فحسب، بل قدمت أيضًا درسًا في قدرة المؤسسات الوطنية على الصمود، وفي أهمية العمل التشاركي عندما تواجه النظم الصحية أخطر التحديات</w:t>
      </w:r>
      <w:r w:rsidRPr="0053503F">
        <w:rPr>
          <w:rFonts w:asciiTheme="majorBidi" w:hAnsiTheme="majorBidi" w:cstheme="majorBidi"/>
        </w:rPr>
        <w:t>.</w:t>
      </w:r>
    </w:p>
    <w:p w14:paraId="31DFE33F" w14:textId="77777777" w:rsidR="0053503F" w:rsidRPr="0053503F" w:rsidRDefault="0053503F" w:rsidP="0053503F">
      <w:pPr>
        <w:bidi/>
        <w:rPr>
          <w:rFonts w:asciiTheme="majorBidi" w:hAnsiTheme="majorBidi" w:cstheme="majorBidi"/>
        </w:rPr>
      </w:pPr>
      <w:r w:rsidRPr="0053503F">
        <w:rPr>
          <w:rFonts w:asciiTheme="majorBidi" w:hAnsiTheme="majorBidi" w:cstheme="majorBidi"/>
          <w:rtl/>
        </w:rPr>
        <w:t>وأختم بكلمة أرى أنها تلخص جوهر هذه الورقة</w:t>
      </w:r>
      <w:r w:rsidRPr="0053503F">
        <w:rPr>
          <w:rFonts w:asciiTheme="majorBidi" w:hAnsiTheme="majorBidi" w:cstheme="majorBidi"/>
        </w:rPr>
        <w:t>:</w:t>
      </w:r>
    </w:p>
    <w:p w14:paraId="751DBDAD" w14:textId="77777777" w:rsidR="0053503F" w:rsidRPr="0053503F" w:rsidRDefault="0053503F" w:rsidP="0053503F">
      <w:pPr>
        <w:bidi/>
        <w:rPr>
          <w:rFonts w:asciiTheme="majorBidi" w:hAnsiTheme="majorBidi" w:cstheme="majorBidi"/>
        </w:rPr>
      </w:pPr>
      <w:r w:rsidRPr="0053503F">
        <w:rPr>
          <w:rFonts w:asciiTheme="majorBidi" w:hAnsiTheme="majorBidi" w:cstheme="majorBidi"/>
          <w:b/>
          <w:bCs/>
          <w:rtl/>
        </w:rPr>
        <w:t>إن صمود النظم الصحية لا يُقاس بعدد المستشفيات أو حجم المساعدات، بل بقدرة المؤسسات الوطنية على التكيف، وبقوة الشراكات التي تدعمها، وبالإرادة الجماعية للحفاظ على الحق في الصحة حتى في أكثر الظروف الإنسانية قسوة</w:t>
      </w:r>
      <w:r w:rsidRPr="0053503F">
        <w:rPr>
          <w:rFonts w:asciiTheme="majorBidi" w:hAnsiTheme="majorBidi" w:cstheme="majorBidi"/>
          <w:b/>
          <w:bCs/>
        </w:rPr>
        <w:t>.</w:t>
      </w:r>
    </w:p>
    <w:p w14:paraId="1102953B" w14:textId="77777777" w:rsidR="0053503F" w:rsidRPr="0053503F" w:rsidRDefault="0053503F" w:rsidP="0053503F">
      <w:pPr>
        <w:bidi/>
        <w:rPr>
          <w:rFonts w:asciiTheme="majorBidi" w:hAnsiTheme="majorBidi" w:cstheme="majorBidi"/>
        </w:rPr>
      </w:pPr>
      <w:r w:rsidRPr="0053503F">
        <w:rPr>
          <w:rFonts w:asciiTheme="majorBidi" w:hAnsiTheme="majorBidi" w:cstheme="majorBidi"/>
          <w:b/>
          <w:bCs/>
          <w:rtl/>
        </w:rPr>
        <w:t>شكراً لكم، والسلام عليكم ورحمة الله وبركاته</w:t>
      </w:r>
      <w:r w:rsidRPr="0053503F">
        <w:rPr>
          <w:rFonts w:asciiTheme="majorBidi" w:hAnsiTheme="majorBidi" w:cstheme="majorBidi"/>
          <w:b/>
          <w:bCs/>
        </w:rPr>
        <w:t>.</w:t>
      </w:r>
    </w:p>
    <w:p w14:paraId="54D6EDF3" w14:textId="77777777" w:rsidR="004408C9" w:rsidRPr="0053503F" w:rsidRDefault="004408C9" w:rsidP="004408C9">
      <w:pPr>
        <w:bidi/>
        <w:rPr>
          <w:rFonts w:asciiTheme="majorBidi" w:hAnsiTheme="majorBidi" w:cstheme="majorBidi"/>
          <w:rtl/>
        </w:rPr>
      </w:pPr>
    </w:p>
    <w:p w14:paraId="7A0FA9A9" w14:textId="77777777" w:rsidR="004408C9" w:rsidRPr="0053503F" w:rsidRDefault="004408C9" w:rsidP="004408C9">
      <w:pPr>
        <w:bidi/>
        <w:rPr>
          <w:rFonts w:asciiTheme="majorBidi" w:hAnsiTheme="majorBidi" w:cstheme="majorBidi"/>
          <w:rtl/>
        </w:rPr>
      </w:pPr>
    </w:p>
    <w:p w14:paraId="6BD036A6" w14:textId="77777777" w:rsidR="004408C9" w:rsidRPr="0053503F" w:rsidRDefault="004408C9" w:rsidP="004408C9">
      <w:pPr>
        <w:bidi/>
        <w:rPr>
          <w:rFonts w:asciiTheme="majorBidi" w:hAnsiTheme="majorBidi" w:cstheme="majorBidi"/>
          <w:rtl/>
        </w:rPr>
      </w:pPr>
    </w:p>
    <w:p w14:paraId="3F641402" w14:textId="77777777" w:rsidR="004408C9" w:rsidRPr="0053503F" w:rsidRDefault="004408C9" w:rsidP="004408C9">
      <w:pPr>
        <w:bidi/>
        <w:rPr>
          <w:rFonts w:asciiTheme="majorBidi" w:hAnsiTheme="majorBidi" w:cstheme="majorBidi"/>
          <w:rtl/>
        </w:rPr>
      </w:pPr>
    </w:p>
    <w:p w14:paraId="77102C68" w14:textId="77777777" w:rsidR="004408C9" w:rsidRPr="0053503F" w:rsidRDefault="004408C9" w:rsidP="004408C9">
      <w:pPr>
        <w:bidi/>
        <w:rPr>
          <w:rFonts w:asciiTheme="majorBidi" w:hAnsiTheme="majorBidi" w:cstheme="majorBidi"/>
          <w:rtl/>
        </w:rPr>
      </w:pPr>
    </w:p>
    <w:p w14:paraId="6F4F2B6B" w14:textId="77777777" w:rsidR="004408C9" w:rsidRPr="0053503F" w:rsidRDefault="004408C9" w:rsidP="004408C9">
      <w:pPr>
        <w:bidi/>
        <w:rPr>
          <w:rFonts w:asciiTheme="majorBidi" w:hAnsiTheme="majorBidi" w:cstheme="majorBidi"/>
        </w:rPr>
      </w:pPr>
    </w:p>
    <w:sectPr w:rsidR="004408C9" w:rsidRPr="0053503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8C9"/>
    <w:rsid w:val="0012591A"/>
    <w:rsid w:val="004408C9"/>
    <w:rsid w:val="004827EC"/>
    <w:rsid w:val="005350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B17D6"/>
  <w15:chartTrackingRefBased/>
  <w15:docId w15:val="{3F9ABF89-5828-49BE-BCC6-75F8E0044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408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408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408C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408C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408C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408C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408C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408C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408C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4408C9"/>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4408C9"/>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4408C9"/>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4408C9"/>
    <w:rPr>
      <w:rFonts w:eastAsiaTheme="majorEastAsia" w:cstheme="majorBidi"/>
      <w:i/>
      <w:iCs/>
      <w:color w:val="0F4761" w:themeColor="accent1" w:themeShade="BF"/>
    </w:rPr>
  </w:style>
  <w:style w:type="character" w:customStyle="1" w:styleId="5Char">
    <w:name w:val="عنوان 5 Char"/>
    <w:basedOn w:val="a0"/>
    <w:link w:val="5"/>
    <w:uiPriority w:val="9"/>
    <w:semiHidden/>
    <w:rsid w:val="004408C9"/>
    <w:rPr>
      <w:rFonts w:eastAsiaTheme="majorEastAsia" w:cstheme="majorBidi"/>
      <w:color w:val="0F4761" w:themeColor="accent1" w:themeShade="BF"/>
    </w:rPr>
  </w:style>
  <w:style w:type="character" w:customStyle="1" w:styleId="6Char">
    <w:name w:val="عنوان 6 Char"/>
    <w:basedOn w:val="a0"/>
    <w:link w:val="6"/>
    <w:uiPriority w:val="9"/>
    <w:semiHidden/>
    <w:rsid w:val="004408C9"/>
    <w:rPr>
      <w:rFonts w:eastAsiaTheme="majorEastAsia" w:cstheme="majorBidi"/>
      <w:i/>
      <w:iCs/>
      <w:color w:val="595959" w:themeColor="text1" w:themeTint="A6"/>
    </w:rPr>
  </w:style>
  <w:style w:type="character" w:customStyle="1" w:styleId="7Char">
    <w:name w:val="عنوان 7 Char"/>
    <w:basedOn w:val="a0"/>
    <w:link w:val="7"/>
    <w:uiPriority w:val="9"/>
    <w:semiHidden/>
    <w:rsid w:val="004408C9"/>
    <w:rPr>
      <w:rFonts w:eastAsiaTheme="majorEastAsia" w:cstheme="majorBidi"/>
      <w:color w:val="595959" w:themeColor="text1" w:themeTint="A6"/>
    </w:rPr>
  </w:style>
  <w:style w:type="character" w:customStyle="1" w:styleId="8Char">
    <w:name w:val="عنوان 8 Char"/>
    <w:basedOn w:val="a0"/>
    <w:link w:val="8"/>
    <w:uiPriority w:val="9"/>
    <w:semiHidden/>
    <w:rsid w:val="004408C9"/>
    <w:rPr>
      <w:rFonts w:eastAsiaTheme="majorEastAsia" w:cstheme="majorBidi"/>
      <w:i/>
      <w:iCs/>
      <w:color w:val="272727" w:themeColor="text1" w:themeTint="D8"/>
    </w:rPr>
  </w:style>
  <w:style w:type="character" w:customStyle="1" w:styleId="9Char">
    <w:name w:val="عنوان 9 Char"/>
    <w:basedOn w:val="a0"/>
    <w:link w:val="9"/>
    <w:uiPriority w:val="9"/>
    <w:semiHidden/>
    <w:rsid w:val="004408C9"/>
    <w:rPr>
      <w:rFonts w:eastAsiaTheme="majorEastAsia" w:cstheme="majorBidi"/>
      <w:color w:val="272727" w:themeColor="text1" w:themeTint="D8"/>
    </w:rPr>
  </w:style>
  <w:style w:type="paragraph" w:styleId="a3">
    <w:name w:val="Title"/>
    <w:basedOn w:val="a"/>
    <w:next w:val="a"/>
    <w:link w:val="Char"/>
    <w:uiPriority w:val="10"/>
    <w:qFormat/>
    <w:rsid w:val="00440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4408C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408C9"/>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4408C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408C9"/>
    <w:pPr>
      <w:spacing w:before="160"/>
      <w:jc w:val="center"/>
    </w:pPr>
    <w:rPr>
      <w:i/>
      <w:iCs/>
      <w:color w:val="404040" w:themeColor="text1" w:themeTint="BF"/>
    </w:rPr>
  </w:style>
  <w:style w:type="character" w:customStyle="1" w:styleId="Char1">
    <w:name w:val="اقتباس Char"/>
    <w:basedOn w:val="a0"/>
    <w:link w:val="a5"/>
    <w:uiPriority w:val="29"/>
    <w:rsid w:val="004408C9"/>
    <w:rPr>
      <w:i/>
      <w:iCs/>
      <w:color w:val="404040" w:themeColor="text1" w:themeTint="BF"/>
    </w:rPr>
  </w:style>
  <w:style w:type="paragraph" w:styleId="a6">
    <w:name w:val="List Paragraph"/>
    <w:basedOn w:val="a"/>
    <w:uiPriority w:val="34"/>
    <w:qFormat/>
    <w:rsid w:val="004408C9"/>
    <w:pPr>
      <w:ind w:left="720"/>
      <w:contextualSpacing/>
    </w:pPr>
  </w:style>
  <w:style w:type="character" w:styleId="a7">
    <w:name w:val="Intense Emphasis"/>
    <w:basedOn w:val="a0"/>
    <w:uiPriority w:val="21"/>
    <w:qFormat/>
    <w:rsid w:val="004408C9"/>
    <w:rPr>
      <w:i/>
      <w:iCs/>
      <w:color w:val="0F4761" w:themeColor="accent1" w:themeShade="BF"/>
    </w:rPr>
  </w:style>
  <w:style w:type="paragraph" w:styleId="a8">
    <w:name w:val="Intense Quote"/>
    <w:basedOn w:val="a"/>
    <w:next w:val="a"/>
    <w:link w:val="Char2"/>
    <w:uiPriority w:val="30"/>
    <w:qFormat/>
    <w:rsid w:val="004408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4408C9"/>
    <w:rPr>
      <w:i/>
      <w:iCs/>
      <w:color w:val="0F4761" w:themeColor="accent1" w:themeShade="BF"/>
    </w:rPr>
  </w:style>
  <w:style w:type="character" w:styleId="a9">
    <w:name w:val="Intense Reference"/>
    <w:basedOn w:val="a0"/>
    <w:uiPriority w:val="32"/>
    <w:qFormat/>
    <w:rsid w:val="004408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2284</Words>
  <Characters>13025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bassam zaqout</dc:creator>
  <cp:keywords/>
  <dc:description/>
  <cp:lastModifiedBy>1</cp:lastModifiedBy>
  <cp:revision>2</cp:revision>
  <dcterms:created xsi:type="dcterms:W3CDTF">2026-07-29T12:33:00Z</dcterms:created>
  <dcterms:modified xsi:type="dcterms:W3CDTF">2026-07-29T12:33:00Z</dcterms:modified>
</cp:coreProperties>
</file>