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C9658" w14:textId="77777777" w:rsidR="00AA0ACB" w:rsidRPr="00AA0ACB" w:rsidRDefault="00AA0ACB" w:rsidP="00AA0ACB">
      <w:pPr>
        <w:bidi w:val="0"/>
        <w:spacing w:before="100" w:beforeAutospacing="1" w:after="100" w:afterAutospacing="1" w:line="240" w:lineRule="auto"/>
        <w:jc w:val="both"/>
        <w:outlineLvl w:val="2"/>
        <w:rPr>
          <w:rFonts w:ascii="Times New Roman" w:eastAsia="Times New Roman" w:hAnsi="Times New Roman" w:cs="Times New Roman"/>
          <w:b/>
          <w:bCs/>
          <w:sz w:val="27"/>
          <w:szCs w:val="27"/>
          <w:lang w:bidi="ar-PS"/>
        </w:rPr>
      </w:pPr>
      <w:r w:rsidRPr="00AA0ACB">
        <w:rPr>
          <w:rFonts w:ascii="Times New Roman" w:eastAsia="Times New Roman" w:hAnsi="Times New Roman" w:cs="Times New Roman"/>
          <w:b/>
          <w:bCs/>
          <w:sz w:val="27"/>
          <w:szCs w:val="27"/>
          <w:lang w:bidi="ar-PS"/>
        </w:rPr>
        <w:t>Research Paper: Shelter and Relief in the Gaza Strip: Growing Needs and Humanitarian Response</w:t>
      </w:r>
    </w:p>
    <w:p w14:paraId="66B0AA1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Hundreds of thousands of Palestinians in the Gaza Strip are facing an unprecedented shelter crisis after losing their homes as a result of the widespread destruction of residential neighborhoods, or being forced to repeatedly displace due to military operations and evacuation orders. Tents and temporary shelter centers, initially established as an emergency solution, have turned into extended residences lacking the elements of adequate housing, amid the continued difficulty of returning to original areas and the absence of the conditions necessary for reconstruction. </w:t>
      </w:r>
    </w:p>
    <w:p w14:paraId="227B66B8"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suffering of the displaced has not been limited to the loss of shelter, but has extended to include a severe shortage of basic needs related to daily life, including food, drinking water, hygiene materials, mattresses and blankets, children's and women's supplies, in addition to the deterioration of sanitation and hygiene services, which has led to exacerbated health and humanitarian risks within overcrowded displacement sites. </w:t>
      </w:r>
    </w:p>
    <w:p w14:paraId="73205331"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Amid the ongoing crisis, humanitarian and relief assistance has become an essential necessity to ensure the survival of hundreds of thousands of displaced persons and maintain the minimum requirements for a dignified life. </w:t>
      </w:r>
    </w:p>
    <w:p w14:paraId="3A248167"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This paper addresses the reality of the needs of the displaced in the shelter and relief sectors, the challenges facing their provision, alongside reviewing the most prominent humanitarian interventions aimed at mitigating the effects of the crisis and improving the living conditions of affected families. </w:t>
      </w:r>
    </w:p>
    <w:p w14:paraId="258516F9"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First: Hundreds of Thousands of Families in Dilapidated Tents and Inadequate Shelter Centers</w:t>
      </w:r>
    </w:p>
    <w:p w14:paraId="7DCF1E07"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Results of the displacement site assessment conducted by the Site Management Cluster (SMC) indicate that approximately 1,708,822 displaced persons, representing about 354,550 families, reside in 1,591 displacement sites distributed across various governorates of the Gaza Strip. About 83% of the displaced live in random clusters of tents or in open areas lacking infrastructure and basic services, while a limited number reside in collective shelter centers inside schools and buildings. These data reflect the transformation of displacement from a temporary state to a long-term reality imposed by the conditions of loss of housing and the continued inability to return. </w:t>
      </w:r>
    </w:p>
    <w:p w14:paraId="0DBFEF01"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Field conditions reveal a serious deterioration in shelter conditions, as thousands of tents have been damaged due to prolonged use and harsh weather conditions, becoming unable to provide adequate protection from extreme heat or rain and wind. Many families are forced to repair their tents using primitive means with pieces of nylon and used fabrics in an attempt to provide minimum shelter. </w:t>
      </w:r>
    </w:p>
    <w:p w14:paraId="1740A19A"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Assessment data also indicate that about 7,700 families, comprising approximately 38,500 people, live without any shelter inside displacement sites, while more than 136,000 families, meaning nearly 680,000 people, were deprived of obtaining shelter assistance during the six months preceding the assessment. Overcrowding increases the vulnerability of the displaced, as the average occupancy in many tents exceeds their </w:t>
      </w:r>
      <w:r w:rsidRPr="00AA0ACB">
        <w:rPr>
          <w:rFonts w:ascii="Times New Roman" w:eastAsia="Times New Roman" w:hAnsi="Times New Roman" w:cs="Times New Roman"/>
          <w:sz w:val="24"/>
          <w:szCs w:val="24"/>
          <w:lang w:bidi="ar-PS"/>
        </w:rPr>
        <w:lastRenderedPageBreak/>
        <w:t xml:space="preserve">capacity, leading to loss of privacy and increased health and social risks, especially for women and children. </w:t>
      </w:r>
    </w:p>
    <w:p w14:paraId="2584592E"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Second: Collapse of Water and Sanitation Services in Displacement Sites</w:t>
      </w:r>
    </w:p>
    <w:p w14:paraId="615DF115"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suffering of the displaced in the Gaza Strip is not limited to the loss of shelter, but extends to the severe deterioration of water, sanitation, and hygiene (WASH) services inside displacement sites, turning many tent clusters into polluted environments threatening the health and human dignity of the population. The ongoing restrictions on the entry of fuel, equipment, and maintenance materials have weakened the humanitarian actors' ability to provide minimum basic services. </w:t>
      </w:r>
    </w:p>
    <w:p w14:paraId="6BF69562"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results of the displacement site assessment indicate that 82.4% of the sites rely entirely on trucking drinking water, amid damaged water networks and the disruption of large parts of them. This reliance deprives between 600,000 and 709,000 displaced people of sufficient quantities of water, affecting public health and personal hygiene and increasing the risk of disease outbreaks. </w:t>
      </w:r>
    </w:p>
    <w:p w14:paraId="6DCDB9E0"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Displacement sites also face an acute crisis in sanitation services; residents in some sites are forced to use plastic bags or buckets for defecation, while other families resort to open defecation due to a lack of toilets. Primitive </w:t>
      </w:r>
      <w:proofErr w:type="spellStart"/>
      <w:r w:rsidRPr="00AA0ACB">
        <w:rPr>
          <w:rFonts w:ascii="Times New Roman" w:eastAsia="Times New Roman" w:hAnsi="Times New Roman" w:cs="Times New Roman"/>
          <w:sz w:val="24"/>
          <w:szCs w:val="24"/>
          <w:lang w:bidi="ar-PS"/>
        </w:rPr>
        <w:t>soakaways</w:t>
      </w:r>
      <w:proofErr w:type="spellEnd"/>
      <w:r w:rsidRPr="00AA0ACB">
        <w:rPr>
          <w:rFonts w:ascii="Times New Roman" w:eastAsia="Times New Roman" w:hAnsi="Times New Roman" w:cs="Times New Roman"/>
          <w:sz w:val="24"/>
          <w:szCs w:val="24"/>
          <w:lang w:bidi="ar-PS"/>
        </w:rPr>
        <w:t xml:space="preserve"> and sewage water spread among tents, in addition to the accumulation of solid waste, leading to the spread of insects and rodents and compounding health and environmental risks. </w:t>
      </w:r>
    </w:p>
    <w:p w14:paraId="0860A829"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Suffering increases during the winter season with rainwater pooling around tents and turning them into muddy and polluted areas, leading to damaged mattresses and clothes and difficulty maintaining personal hygiene. Displaced people also suffer from a severe shortage of basic hygiene supplies, including soap, detergents, baby diapers, and sanitary pads, which is reflected in high rates of skin diseases inside shelter centers. </w:t>
      </w:r>
    </w:p>
    <w:p w14:paraId="7F1FE204"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continuation of these conditions inside displacement sites exacerbates the vulnerability of the most affected groups, especially children, women, the elderly, and persons with disabilities, turning temporary shelter places into environments lacking the minimum conditions of health, safety, and a dignified life. </w:t>
      </w:r>
    </w:p>
    <w:p w14:paraId="052EAB58"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Third: Health Risks in Displacement Sites</w:t>
      </w:r>
    </w:p>
    <w:p w14:paraId="6A6FF40E"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Tents and shelter centers are no longer just places lacking adequate shelter, but have become environments prone to compounded health and humanitarian risks, amid the collapse of health services, shortage of medicines and medical supplies, and the deterioration of water, sanitation, and hygiene conditions. Displaced people live in conditions characterized by overcrowding, pollution, and a scarcity of basic services, which increases the spread of diseases and particularly affects children, pregnant women, the elderly, persons with disabilities, and chronic disease patients. </w:t>
      </w:r>
    </w:p>
    <w:p w14:paraId="63F2B9EA"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Results of the displacement site assessment indicate that 81% of sites recorded emergency health cases that required medical intervention during the period preceding the assessment. Skin diseases and fever were the most widespread, followed by respiratory diseases and acute diarrhea, with these risks rising in sites suffering from rainwater pooling or sewage contamination, confirming the direct link between deteriorating surrounding environment and worsening health conditions. </w:t>
      </w:r>
    </w:p>
    <w:p w14:paraId="71D3375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Displaced persons also face additional risks due to the spread of remnants of war and unexploded ordnance near displacement sites. Residents of hundreds of sites reported the presence of explosive objects or exposure to their risks, while thousands of displaced persons were deprived of risk awareness programs, particularly threatening children in open areas around tents. </w:t>
      </w:r>
    </w:p>
    <w:p w14:paraId="4F0030E5"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suffering of the most vulnerable groups inside displacement sites doubles, as women and girls face a lack of privacy, hygiene, and protection supplies, while persons with disabilities and the elderly suffer from significant difficulties in accessing health facilities and basic services due to the absence of appropriate equipment. Thousands of unaccompanied or separated children, and female-headed households, also </w:t>
      </w:r>
      <w:proofErr w:type="gramStart"/>
      <w:r w:rsidRPr="00AA0ACB">
        <w:rPr>
          <w:rFonts w:ascii="Times New Roman" w:eastAsia="Times New Roman" w:hAnsi="Times New Roman" w:cs="Times New Roman"/>
          <w:sz w:val="24"/>
          <w:szCs w:val="24"/>
          <w:lang w:bidi="ar-PS"/>
        </w:rPr>
        <w:t>live in</w:t>
      </w:r>
      <w:proofErr w:type="gramEnd"/>
      <w:r w:rsidRPr="00AA0ACB">
        <w:rPr>
          <w:rFonts w:ascii="Times New Roman" w:eastAsia="Times New Roman" w:hAnsi="Times New Roman" w:cs="Times New Roman"/>
          <w:sz w:val="24"/>
          <w:szCs w:val="24"/>
          <w:lang w:bidi="ar-PS"/>
        </w:rPr>
        <w:t xml:space="preserve"> conditions that increase their humanitarian and social vulnerability. </w:t>
      </w:r>
    </w:p>
    <w:p w14:paraId="5560A4EC"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absence of lighting in most displacement sites compounds security risks, as a large proportion of sites lack community lighting systems, limiting residents' ability to move at night, increasing accident risks, and deepening feelings of fear and insecurity, especially among women and children. </w:t>
      </w:r>
    </w:p>
    <w:p w14:paraId="77A3C281"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continuation of these conditions turns displacement sites into multi-risk environments, not only threatening the health of the displaced, but also affecting their security, dignity, and ability to access protection and basic services. </w:t>
      </w:r>
    </w:p>
    <w:p w14:paraId="6069C7B9"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Fourth: Food Insecurity and Difficulty Accessing Cooking Means</w:t>
      </w:r>
    </w:p>
    <w:p w14:paraId="551FDD98"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suffering of the displaced in the Gaza Strip is not limited to the loss of shelter and the deterioration of basic services, but extends to the difficulty of accessing food and cooking means, amid the loss of most families' sources of income and savings, and the decline in their ability to secure daily needs. </w:t>
      </w:r>
    </w:p>
    <w:p w14:paraId="428504C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Results of the displacement site assessment indicate that 43% of sites, housing about 700,000 displaced people, did not receive food assistance during the thirty days preceding the assessment. Displaced people in 42% of sites are also forced to buy food at their own expense despite economic collapse and high poverty levels, and this percentage rises in the northern Gaza Strip to 74%, reflecting the widening gap between humanitarian needs and available assistance. </w:t>
      </w:r>
    </w:p>
    <w:p w14:paraId="041644F5"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crisis is exacerbated by the difficulty of obtaining energy sources necessary for food preparation. About 85% of displacement sites rely on firewood as a main source for cooking due to the absence of cooking gas and alternative energy sources, while some families are forced to burn plastic and waste to prepare food, exposing them to health risks due to toxic fumes, especially children, the elderly, and respiratory patients. Some sites also suffer from a complete absence of cooking means, prompting families to reduce the number of meals or rely on ready-made food. </w:t>
      </w:r>
    </w:p>
    <w:p w14:paraId="6560109E"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continued shortage of food and cooking means turns the basic needs of the displaced into a daily challenge, increases the vulnerability of families who have lost their homes and livelihoods, and threatens their ability to maintain the minimum requirements of a dignified life. </w:t>
      </w:r>
    </w:p>
    <w:p w14:paraId="316A5E48"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Fifth: Absence of Tenure Security Exacerbates the Suffering of the Displaced</w:t>
      </w:r>
    </w:p>
    <w:p w14:paraId="58AFC4AD"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suffering of the displaced is not limited to the lack of shelter and basic services, but extends to the absence of legal security for their places of residence, as the majority of tents were set up on private land or in locations that do not provide any legal guarantees for stability, making displaced families vulnerable to the risk of eviction or loss of their place of residence at any time. </w:t>
      </w:r>
    </w:p>
    <w:p w14:paraId="6A18F67D"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Displacement site assessment data indicate that 93% of sites lack any legal tenure document, while 55% of them are located on private land, depriving about 1.55 million displaced persons of any actual legal protection for their place of residence. Furthermore, 150 sites, inhabited by about 168,000 displaced persons, were subjected to pressure or threats of eviction, compounding the state of anxiety and instability experienced by displaced families. </w:t>
      </w:r>
    </w:p>
    <w:p w14:paraId="5AB50ADA"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Some families bear additional financial burdens in exchange for setting up their tents on private land, paying monthly amounts despite relying on limited humanitarian assistance. Furthermore, 67% of displacement sites lack management or a responsible entity to organize their affairs, which weakens mechanisms for aid distribution, service delivery, and response to emergency needs. </w:t>
      </w:r>
    </w:p>
    <w:p w14:paraId="6E6E272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absence of legal security of tenure turns displacement sites into temporary and unstable places, deepens the vulnerability of the displaced conditions, and deprives them of one of the basic elements of adequate housing and living with dignity. </w:t>
      </w:r>
    </w:p>
    <w:p w14:paraId="12E215B0"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Sixth: The Shelter Crisis in the Gaza Strip and Deprivation of Basic Needs in Light of International Law</w:t>
      </w:r>
    </w:p>
    <w:p w14:paraId="0666ABBA"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continued forcing of hundreds of thousands of Palestinians to live for long months in dilapidated tents and shelter centers lacking the minimum requirements of a dignified life is not merely a humanitarian crisis resulting from armed conflict, but constitutes a grave violation of international humanitarian law and international human rights law. The suffering of the displaced is not limited to the loss of their homes, but extends to their deprivation of safe shelter, water, food, healthcare, privacy, and personal security. </w:t>
      </w:r>
    </w:p>
    <w:p w14:paraId="2BD6A72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International Covenant on Economic, Social and Cultural Rights (ICESCR) guarantees in Article (11) the right to an adequate standard of living, including the right to adequate housing. The Committee on Economic, Social and Cultural Rights (CESCR), in its General Comment No. (4), clarified that this right is not limited to providing shelter, but includes legal security of tenure, availability of services, habitability, and protection from health and environmental risks. It also emphasized in its General Comment No. (7) that protection from forced eviction is an essential part of the right to housing. Therefore, keeping civilians for long periods in tents lacking these elements, while continuing to threaten them with eviction, constitutes a clear violation of this right. </w:t>
      </w:r>
    </w:p>
    <w:p w14:paraId="64D87AC8"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From the perspective of international humanitarian law, Israel, as the occupying power, bears an obligation to protect the civilian population, ensure the fulfillment of their basic needs, allow the entry of humanitarian aid, and prohibit forced displacement, pursuant to the Fourth Geneva Convention of 1949. The continued prevention of the entry of shelter supplies and building materials, and the obstruction of rubble removal and reconstruction, prolongs forced displacement and entrenches the reality of long-term displacement. </w:t>
      </w:r>
    </w:p>
    <w:p w14:paraId="5FEB3A26"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Furthermore, preventing residents from returning to their homes, and the continued destruction of their homes or obstructing their rebuilding, contradicts Article (49) of the Fourth Geneva Convention, and may amount to war crimes under the Rome Statute of the International Criminal Court, including unlawful transfer of population and extensive destruction of property not justified by military necessity. </w:t>
      </w:r>
    </w:p>
    <w:p w14:paraId="5E22A86F"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 shelter crisis cannot be separated from broader policies that included widespread destruction of housing and infrastructure, restrictions on the entry of basic materials, and depriving the population of water, food, healthcare, and shelter. These policies lead to subjecting civilians to living conditions threatening their survival, which may fall under the act stipulated in Article (II) of the Convention on the Prevention and Punishment of the Crime of Genocide of 1948. </w:t>
      </w:r>
    </w:p>
    <w:p w14:paraId="72A481FD"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These practices also contradict the provisional measures issued by the International Court of Justice, which affirmed the necessity of taking all measures to ensure the flow of humanitarian aid and basic services and prevent the worsening of living conditions threatening the lives of civilians in the Gaza Strip. </w:t>
      </w:r>
    </w:p>
    <w:p w14:paraId="2C1BB4AF"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Seventh: Interventions of "Operation Chivalrous Knight 3" in the Shelter and Relief Sectors</w:t>
      </w:r>
    </w:p>
    <w:p w14:paraId="3DEF5519"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With the expansion of forced displacement in the Gaza Strip and the destruction of hundreds of thousands of housing units, the shelter and relief sectors emerged as among the most urgent humanitarian sectors. In this context, Operation Chivalrous Knight 3 constituted one of the most prominent humanitarian initiatives supporting the displaced, by providing temporary shelter and basic relief supplies, contributing to alleviating the effects of displacement and improving living conditions in shelter sites. </w:t>
      </w:r>
    </w:p>
    <w:p w14:paraId="21A06A6A" w14:textId="77777777" w:rsidR="00AA0ACB" w:rsidRPr="00AA0ACB" w:rsidRDefault="00AA0ACB" w:rsidP="00AA0ACB">
      <w:pPr>
        <w:bidi w:val="0"/>
        <w:spacing w:before="100" w:beforeAutospacing="1" w:after="100" w:afterAutospacing="1" w:line="240" w:lineRule="auto"/>
        <w:jc w:val="both"/>
        <w:outlineLvl w:val="4"/>
        <w:rPr>
          <w:rFonts w:ascii="Times New Roman" w:eastAsia="Times New Roman" w:hAnsi="Times New Roman" w:cs="Times New Roman"/>
          <w:b/>
          <w:bCs/>
          <w:sz w:val="20"/>
          <w:szCs w:val="20"/>
          <w:lang w:bidi="ar-PS"/>
        </w:rPr>
      </w:pPr>
      <w:r w:rsidRPr="00AA0ACB">
        <w:rPr>
          <w:rFonts w:ascii="Times New Roman" w:eastAsia="Times New Roman" w:hAnsi="Times New Roman" w:cs="Times New Roman"/>
          <w:b/>
          <w:bCs/>
          <w:sz w:val="20"/>
          <w:szCs w:val="20"/>
          <w:lang w:bidi="ar-PS"/>
        </w:rPr>
        <w:t>1. Areas of Intervention of Operation Chivalrous Knight 3 in Shelter and Relief Sectors</w:t>
      </w:r>
    </w:p>
    <w:p w14:paraId="221F1F2E"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Interventions of Operation Chivalrous Knight 3 included a wide range of shelter and relief services, most notably: </w:t>
      </w:r>
    </w:p>
    <w:p w14:paraId="1EFBE3CE"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Providing family tents and tarpaulins. </w:t>
      </w:r>
    </w:p>
    <w:p w14:paraId="405F233D"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Distributing shelter supplies, including mattresses, blankets, and pillows. </w:t>
      </w:r>
    </w:p>
    <w:p w14:paraId="1CD7A6FD"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Distributing relief bags, hygiene kits, and kitchen utensils. </w:t>
      </w:r>
    </w:p>
    <w:p w14:paraId="182E0ADC"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Providing water tanks and establishing sanitary facilities inside a number of displacement camps. </w:t>
      </w:r>
    </w:p>
    <w:p w14:paraId="39635052"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Supporting field kitchens and bakeries, and distributing hot meals, food parcels, flour, and dates. </w:t>
      </w:r>
    </w:p>
    <w:p w14:paraId="320D2EAF"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Providing baby formula, clothing, and basic living supplies. </w:t>
      </w:r>
    </w:p>
    <w:p w14:paraId="3EC4C1B2" w14:textId="77777777" w:rsidR="00AA0ACB" w:rsidRPr="00AA0ACB" w:rsidRDefault="00AA0ACB" w:rsidP="00AA0ACB">
      <w:pPr>
        <w:numPr>
          <w:ilvl w:val="0"/>
          <w:numId w:val="1"/>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Implementing temporary solutions to improve living conditions inside displacement sites. </w:t>
      </w:r>
    </w:p>
    <w:p w14:paraId="1D47A681" w14:textId="77777777" w:rsidR="00AA0ACB" w:rsidRPr="00AA0ACB" w:rsidRDefault="00AA0ACB" w:rsidP="00AA0ACB">
      <w:pPr>
        <w:bidi w:val="0"/>
        <w:spacing w:before="100" w:beforeAutospacing="1" w:after="100" w:afterAutospacing="1" w:line="240" w:lineRule="auto"/>
        <w:jc w:val="both"/>
        <w:outlineLvl w:val="4"/>
        <w:rPr>
          <w:rFonts w:ascii="Times New Roman" w:eastAsia="Times New Roman" w:hAnsi="Times New Roman" w:cs="Times New Roman"/>
          <w:b/>
          <w:bCs/>
          <w:sz w:val="20"/>
          <w:szCs w:val="20"/>
          <w:lang w:bidi="ar-PS"/>
        </w:rPr>
      </w:pPr>
      <w:r w:rsidRPr="00AA0ACB">
        <w:rPr>
          <w:rFonts w:ascii="Times New Roman" w:eastAsia="Times New Roman" w:hAnsi="Times New Roman" w:cs="Times New Roman"/>
          <w:b/>
          <w:bCs/>
          <w:sz w:val="20"/>
          <w:szCs w:val="20"/>
          <w:lang w:bidi="ar-PS"/>
        </w:rPr>
        <w:t>2. Chronological Evolution of Shelter and Relief Interventions (2023–2026)</w:t>
      </w:r>
    </w:p>
    <w:p w14:paraId="60CB585C" w14:textId="77777777" w:rsidR="00AA0ACB" w:rsidRPr="00AA0ACB" w:rsidRDefault="00AA0ACB" w:rsidP="00AA0ACB">
      <w:pPr>
        <w:numPr>
          <w:ilvl w:val="0"/>
          <w:numId w:val="2"/>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November – December 2023:</w:t>
      </w:r>
      <w:r w:rsidRPr="00AA0ACB">
        <w:rPr>
          <w:rFonts w:ascii="Times New Roman" w:eastAsia="Times New Roman" w:hAnsi="Times New Roman" w:cs="Times New Roman"/>
          <w:sz w:val="24"/>
          <w:szCs w:val="24"/>
          <w:lang w:bidi="ar-PS"/>
        </w:rPr>
        <w:t xml:space="preserve"> Launching Operation Chivalrous Knight 3, and introducing tents and basic relief materials (food, water, blankets, and health supplies) to provide urgent humanitarian response to displaced families. </w:t>
      </w:r>
    </w:p>
    <w:p w14:paraId="7409B5C8" w14:textId="77777777" w:rsidR="00AA0ACB" w:rsidRPr="00AA0ACB" w:rsidRDefault="00AA0ACB" w:rsidP="00AA0ACB">
      <w:pPr>
        <w:numPr>
          <w:ilvl w:val="0"/>
          <w:numId w:val="2"/>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January – April 2024:</w:t>
      </w:r>
      <w:r w:rsidRPr="00AA0ACB">
        <w:rPr>
          <w:rFonts w:ascii="Times New Roman" w:eastAsia="Times New Roman" w:hAnsi="Times New Roman" w:cs="Times New Roman"/>
          <w:sz w:val="24"/>
          <w:szCs w:val="24"/>
          <w:lang w:bidi="ar-PS"/>
        </w:rPr>
        <w:t xml:space="preserve"> Expanding the distribution of tents, food items, water, hygiene materials, and supporting community kitchens to mitigate the effects of increased displacement and improve temporary living conditions. </w:t>
      </w:r>
    </w:p>
    <w:p w14:paraId="338FBD3B" w14:textId="77777777" w:rsidR="00AA0ACB" w:rsidRPr="00AA0ACB" w:rsidRDefault="00AA0ACB" w:rsidP="00AA0ACB">
      <w:pPr>
        <w:numPr>
          <w:ilvl w:val="0"/>
          <w:numId w:val="2"/>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May – December 2024:</w:t>
      </w:r>
      <w:r w:rsidRPr="00AA0ACB">
        <w:rPr>
          <w:rFonts w:ascii="Times New Roman" w:eastAsia="Times New Roman" w:hAnsi="Times New Roman" w:cs="Times New Roman"/>
          <w:sz w:val="24"/>
          <w:szCs w:val="24"/>
          <w:lang w:bidi="ar-PS"/>
        </w:rPr>
        <w:t xml:space="preserve"> Continuing to introduce shelter and relief supplies despite restrictions, and preparing temporary shelter sites to limit the worsening of the crisis despite the widening gap between needs and aid. </w:t>
      </w:r>
    </w:p>
    <w:p w14:paraId="2C5B58C7" w14:textId="74A802EA" w:rsidR="00AA0ACB" w:rsidRPr="00AA0ACB" w:rsidRDefault="00AA0ACB" w:rsidP="00AA0ACB">
      <w:pPr>
        <w:numPr>
          <w:ilvl w:val="0"/>
          <w:numId w:val="2"/>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January – December 2025:</w:t>
      </w:r>
      <w:r w:rsidRPr="00AA0ACB">
        <w:rPr>
          <w:rFonts w:ascii="Times New Roman" w:eastAsia="Times New Roman" w:hAnsi="Times New Roman" w:cs="Times New Roman"/>
          <w:sz w:val="24"/>
          <w:szCs w:val="24"/>
          <w:lang w:bidi="ar-PS"/>
        </w:rPr>
        <w:t xml:space="preserve"> Replacing damaged tents, providing winter supplies, and continuing the distribution of food and relief aid to improve temporary living conditions for the </w:t>
      </w:r>
      <w:r w:rsidRPr="00AA0ACB">
        <w:rPr>
          <w:rFonts w:ascii="Times New Roman" w:eastAsia="Times New Roman" w:hAnsi="Times New Roman" w:cs="Times New Roman"/>
          <w:sz w:val="24"/>
          <w:szCs w:val="24"/>
          <w:lang w:bidi="ar-PS"/>
        </w:rPr>
        <w:t>neediest</w:t>
      </w:r>
      <w:r w:rsidRPr="00AA0ACB">
        <w:rPr>
          <w:rFonts w:ascii="Times New Roman" w:eastAsia="Times New Roman" w:hAnsi="Times New Roman" w:cs="Times New Roman"/>
          <w:sz w:val="24"/>
          <w:szCs w:val="24"/>
          <w:lang w:bidi="ar-PS"/>
        </w:rPr>
        <w:t xml:space="preserve"> displaced persons. </w:t>
      </w:r>
    </w:p>
    <w:p w14:paraId="476983B0" w14:textId="77777777" w:rsidR="00AA0ACB" w:rsidRPr="00AA0ACB" w:rsidRDefault="00AA0ACB" w:rsidP="00AA0ACB">
      <w:pPr>
        <w:numPr>
          <w:ilvl w:val="0"/>
          <w:numId w:val="2"/>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January – July 2026:</w:t>
      </w:r>
      <w:r w:rsidRPr="00AA0ACB">
        <w:rPr>
          <w:rFonts w:ascii="Times New Roman" w:eastAsia="Times New Roman" w:hAnsi="Times New Roman" w:cs="Times New Roman"/>
          <w:sz w:val="24"/>
          <w:szCs w:val="24"/>
          <w:lang w:bidi="ar-PS"/>
        </w:rPr>
        <w:t xml:space="preserve"> Continuing to support camps with tents and basic relief materials to maintain the continuity of shelter and relief services despite deteriorating humanitarian conditions. </w:t>
      </w:r>
    </w:p>
    <w:p w14:paraId="35EDD606" w14:textId="77777777" w:rsidR="00AA0ACB" w:rsidRPr="00AA0ACB" w:rsidRDefault="00AA0ACB" w:rsidP="00AA0ACB">
      <w:pPr>
        <w:bidi w:val="0"/>
        <w:spacing w:before="100" w:beforeAutospacing="1" w:after="100" w:afterAutospacing="1" w:line="240" w:lineRule="auto"/>
        <w:jc w:val="both"/>
        <w:outlineLvl w:val="4"/>
        <w:rPr>
          <w:rFonts w:ascii="Times New Roman" w:eastAsia="Times New Roman" w:hAnsi="Times New Roman" w:cs="Times New Roman"/>
          <w:b/>
          <w:bCs/>
          <w:sz w:val="20"/>
          <w:szCs w:val="20"/>
          <w:lang w:bidi="ar-PS"/>
        </w:rPr>
      </w:pPr>
      <w:r w:rsidRPr="00AA0ACB">
        <w:rPr>
          <w:rFonts w:ascii="Times New Roman" w:eastAsia="Times New Roman" w:hAnsi="Times New Roman" w:cs="Times New Roman"/>
          <w:b/>
          <w:bCs/>
          <w:sz w:val="20"/>
          <w:szCs w:val="20"/>
          <w:lang w:bidi="ar-PS"/>
        </w:rPr>
        <w:t>3. Quantitative Indicators of Interventions in Shelter and Relief Sectors</w:t>
      </w:r>
    </w:p>
    <w:p w14:paraId="00386AEB"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Tents:</w:t>
      </w:r>
      <w:r w:rsidRPr="00AA0ACB">
        <w:rPr>
          <w:rFonts w:ascii="Times New Roman" w:eastAsia="Times New Roman" w:hAnsi="Times New Roman" w:cs="Times New Roman"/>
          <w:sz w:val="24"/>
          <w:szCs w:val="24"/>
          <w:lang w:bidi="ar-PS"/>
        </w:rPr>
        <w:t xml:space="preserve"> 34,065 tents </w:t>
      </w:r>
    </w:p>
    <w:p w14:paraId="0F6A5878"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Tarpaulins:</w:t>
      </w:r>
      <w:r w:rsidRPr="00AA0ACB">
        <w:rPr>
          <w:rFonts w:ascii="Times New Roman" w:eastAsia="Times New Roman" w:hAnsi="Times New Roman" w:cs="Times New Roman"/>
          <w:sz w:val="24"/>
          <w:szCs w:val="24"/>
          <w:lang w:bidi="ar-PS"/>
        </w:rPr>
        <w:t xml:space="preserve"> 22,048 tarpaulins </w:t>
      </w:r>
    </w:p>
    <w:p w14:paraId="7DD0B5AE"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Relief bags:</w:t>
      </w:r>
      <w:r w:rsidRPr="00AA0ACB">
        <w:rPr>
          <w:rFonts w:ascii="Times New Roman" w:eastAsia="Times New Roman" w:hAnsi="Times New Roman" w:cs="Times New Roman"/>
          <w:sz w:val="24"/>
          <w:szCs w:val="24"/>
          <w:lang w:bidi="ar-PS"/>
        </w:rPr>
        <w:t xml:space="preserve"> 13,917 bags </w:t>
      </w:r>
    </w:p>
    <w:p w14:paraId="4AD6C45C"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Kitchen utensils:</w:t>
      </w:r>
      <w:r w:rsidRPr="00AA0ACB">
        <w:rPr>
          <w:rFonts w:ascii="Times New Roman" w:eastAsia="Times New Roman" w:hAnsi="Times New Roman" w:cs="Times New Roman"/>
          <w:sz w:val="24"/>
          <w:szCs w:val="24"/>
          <w:lang w:bidi="ar-PS"/>
        </w:rPr>
        <w:t xml:space="preserve"> 7,841 parcels </w:t>
      </w:r>
    </w:p>
    <w:p w14:paraId="2C37DBE8"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Lighting units (floodlights):</w:t>
      </w:r>
      <w:r w:rsidRPr="00AA0ACB">
        <w:rPr>
          <w:rFonts w:ascii="Times New Roman" w:eastAsia="Times New Roman" w:hAnsi="Times New Roman" w:cs="Times New Roman"/>
          <w:sz w:val="24"/>
          <w:szCs w:val="24"/>
          <w:lang w:bidi="ar-PS"/>
        </w:rPr>
        <w:t xml:space="preserve"> 2,940 floodlights </w:t>
      </w:r>
    </w:p>
    <w:p w14:paraId="75FC2EFE"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Food parcel:</w:t>
      </w:r>
      <w:r w:rsidRPr="00AA0ACB">
        <w:rPr>
          <w:rFonts w:ascii="Times New Roman" w:eastAsia="Times New Roman" w:hAnsi="Times New Roman" w:cs="Times New Roman"/>
          <w:sz w:val="24"/>
          <w:szCs w:val="24"/>
          <w:lang w:bidi="ar-PS"/>
        </w:rPr>
        <w:t xml:space="preserve"> 2,700,000 parcels </w:t>
      </w:r>
    </w:p>
    <w:p w14:paraId="66A3ACB3"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Flour:</w:t>
      </w:r>
      <w:r w:rsidRPr="00AA0ACB">
        <w:rPr>
          <w:rFonts w:ascii="Times New Roman" w:eastAsia="Times New Roman" w:hAnsi="Times New Roman" w:cs="Times New Roman"/>
          <w:sz w:val="24"/>
          <w:szCs w:val="24"/>
          <w:lang w:bidi="ar-PS"/>
        </w:rPr>
        <w:t xml:space="preserve"> 3,900,000 kg </w:t>
      </w:r>
    </w:p>
    <w:p w14:paraId="3025348E"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Dates:</w:t>
      </w:r>
      <w:r w:rsidRPr="00AA0ACB">
        <w:rPr>
          <w:rFonts w:ascii="Times New Roman" w:eastAsia="Times New Roman" w:hAnsi="Times New Roman" w:cs="Times New Roman"/>
          <w:sz w:val="24"/>
          <w:szCs w:val="24"/>
          <w:lang w:bidi="ar-PS"/>
        </w:rPr>
        <w:t xml:space="preserve"> 4,100,000 kg </w:t>
      </w:r>
    </w:p>
    <w:p w14:paraId="1E5E0A26"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Hot meal:</w:t>
      </w:r>
      <w:r w:rsidRPr="00AA0ACB">
        <w:rPr>
          <w:rFonts w:ascii="Times New Roman" w:eastAsia="Times New Roman" w:hAnsi="Times New Roman" w:cs="Times New Roman"/>
          <w:sz w:val="24"/>
          <w:szCs w:val="24"/>
          <w:lang w:bidi="ar-PS"/>
        </w:rPr>
        <w:t xml:space="preserve"> 11,500,000 meals </w:t>
      </w:r>
    </w:p>
    <w:p w14:paraId="18B81020"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Bread:</w:t>
      </w:r>
      <w:r w:rsidRPr="00AA0ACB">
        <w:rPr>
          <w:rFonts w:ascii="Times New Roman" w:eastAsia="Times New Roman" w:hAnsi="Times New Roman" w:cs="Times New Roman"/>
          <w:sz w:val="24"/>
          <w:szCs w:val="24"/>
          <w:lang w:bidi="ar-PS"/>
        </w:rPr>
        <w:t xml:space="preserve"> 2,400,000 bundles </w:t>
      </w:r>
    </w:p>
    <w:p w14:paraId="684F5791"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Baby formula:</w:t>
      </w:r>
      <w:r w:rsidRPr="00AA0ACB">
        <w:rPr>
          <w:rFonts w:ascii="Times New Roman" w:eastAsia="Times New Roman" w:hAnsi="Times New Roman" w:cs="Times New Roman"/>
          <w:sz w:val="24"/>
          <w:szCs w:val="24"/>
          <w:lang w:bidi="ar-PS"/>
        </w:rPr>
        <w:t xml:space="preserve"> 165,000 cans </w:t>
      </w:r>
    </w:p>
    <w:p w14:paraId="46DF3B81" w14:textId="77777777" w:rsidR="00AA0ACB" w:rsidRPr="00AA0ACB" w:rsidRDefault="00AA0ACB" w:rsidP="00AA0ACB">
      <w:pPr>
        <w:numPr>
          <w:ilvl w:val="0"/>
          <w:numId w:val="3"/>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b/>
          <w:bCs/>
          <w:sz w:val="24"/>
          <w:szCs w:val="24"/>
          <w:lang w:bidi="ar-PS"/>
        </w:rPr>
        <w:t>Clothing:</w:t>
      </w:r>
      <w:r w:rsidRPr="00AA0ACB">
        <w:rPr>
          <w:rFonts w:ascii="Times New Roman" w:eastAsia="Times New Roman" w:hAnsi="Times New Roman" w:cs="Times New Roman"/>
          <w:sz w:val="24"/>
          <w:szCs w:val="24"/>
          <w:lang w:bidi="ar-PS"/>
        </w:rPr>
        <w:t xml:space="preserve"> 3,500,000 pieces </w:t>
      </w:r>
    </w:p>
    <w:p w14:paraId="7CFA97EE" w14:textId="77777777" w:rsidR="00AA0ACB" w:rsidRPr="00AA0ACB" w:rsidRDefault="00AA0ACB" w:rsidP="00AA0ACB">
      <w:pPr>
        <w:bidi w:val="0"/>
        <w:spacing w:before="100" w:beforeAutospacing="1" w:after="100" w:afterAutospacing="1" w:line="240" w:lineRule="auto"/>
        <w:jc w:val="both"/>
        <w:outlineLvl w:val="4"/>
        <w:rPr>
          <w:rFonts w:ascii="Times New Roman" w:eastAsia="Times New Roman" w:hAnsi="Times New Roman" w:cs="Times New Roman"/>
          <w:b/>
          <w:bCs/>
          <w:sz w:val="20"/>
          <w:szCs w:val="20"/>
          <w:lang w:bidi="ar-PS"/>
        </w:rPr>
      </w:pPr>
      <w:r w:rsidRPr="00AA0ACB">
        <w:rPr>
          <w:rFonts w:ascii="Times New Roman" w:eastAsia="Times New Roman" w:hAnsi="Times New Roman" w:cs="Times New Roman"/>
          <w:b/>
          <w:bCs/>
          <w:sz w:val="20"/>
          <w:szCs w:val="20"/>
          <w:lang w:bidi="ar-PS"/>
        </w:rPr>
        <w:t>4. Assessment of the Impact of Interventions in Light of the Widening Humanitarian Needs Gap</w:t>
      </w:r>
    </w:p>
    <w:p w14:paraId="34A37E06" w14:textId="77777777" w:rsidR="00AA0ACB" w:rsidRPr="00AA0ACB" w:rsidRDefault="00AA0ACB" w:rsidP="00AA0ACB">
      <w:p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Operation Chivalrous Knight 3 represented one of the most prominent humanitarian initiatives in the shelter and relief sectors, contributing to providing tents, shelter supplies, and basic materials to tens of thousands of displaced families, which mitigated the severity of the humanitarian crisis and enhanced the resilience of the displaced. However, the scale of needs remained far exceeding the response, requiring a sustainable and safe flow of aid. </w:t>
      </w:r>
    </w:p>
    <w:p w14:paraId="7F2669B1" w14:textId="77777777" w:rsidR="00AA0ACB" w:rsidRPr="00AA0ACB" w:rsidRDefault="00AA0ACB" w:rsidP="00AA0ACB">
      <w:pPr>
        <w:bidi w:val="0"/>
        <w:spacing w:before="100" w:beforeAutospacing="1" w:after="100" w:afterAutospacing="1" w:line="240" w:lineRule="auto"/>
        <w:jc w:val="both"/>
        <w:outlineLvl w:val="3"/>
        <w:rPr>
          <w:rFonts w:ascii="Times New Roman" w:eastAsia="Times New Roman" w:hAnsi="Times New Roman" w:cs="Times New Roman"/>
          <w:b/>
          <w:bCs/>
          <w:sz w:val="24"/>
          <w:szCs w:val="24"/>
          <w:lang w:bidi="ar-PS"/>
        </w:rPr>
      </w:pPr>
      <w:r w:rsidRPr="00AA0ACB">
        <w:rPr>
          <w:rFonts w:ascii="Times New Roman" w:eastAsia="Times New Roman" w:hAnsi="Times New Roman" w:cs="Times New Roman"/>
          <w:b/>
          <w:bCs/>
          <w:sz w:val="24"/>
          <w:szCs w:val="24"/>
          <w:lang w:bidi="ar-PS"/>
        </w:rPr>
        <w:t>Recommendations</w:t>
      </w:r>
    </w:p>
    <w:p w14:paraId="7FB1B05F" w14:textId="77777777" w:rsidR="00AA0ACB" w:rsidRPr="00AA0ACB" w:rsidRDefault="00AA0ACB" w:rsidP="00AA0ACB">
      <w:pPr>
        <w:numPr>
          <w:ilvl w:val="0"/>
          <w:numId w:val="4"/>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Call upon State Parties to the Geneva Conventions to fulfill their obligations to ensure respect for international humanitarian law, and pressure Israel to halt forced displacement and enable civilians to return safely and with dignity. </w:t>
      </w:r>
    </w:p>
    <w:p w14:paraId="5EC81D21" w14:textId="77777777" w:rsidR="00AA0ACB" w:rsidRPr="00AA0ACB" w:rsidRDefault="00AA0ACB" w:rsidP="00AA0ACB">
      <w:pPr>
        <w:numPr>
          <w:ilvl w:val="0"/>
          <w:numId w:val="4"/>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Call upon the international community to pressure for the immediate and unconditional entry of shelter supplies, building materials, and equipment necessary for reconstruction. </w:t>
      </w:r>
    </w:p>
    <w:p w14:paraId="3E125521" w14:textId="77777777" w:rsidR="00AA0ACB" w:rsidRPr="00AA0ACB" w:rsidRDefault="00AA0ACB" w:rsidP="00AA0ACB">
      <w:pPr>
        <w:numPr>
          <w:ilvl w:val="0"/>
          <w:numId w:val="4"/>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Ensure the provision of basic services in displacement sites, including safe drinking water, sanitation, hygiene, lighting, and waste management. </w:t>
      </w:r>
    </w:p>
    <w:p w14:paraId="60589A2B" w14:textId="77777777" w:rsidR="00AA0ACB" w:rsidRPr="00AA0ACB" w:rsidRDefault="00AA0ACB" w:rsidP="00AA0ACB">
      <w:pPr>
        <w:numPr>
          <w:ilvl w:val="0"/>
          <w:numId w:val="4"/>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 xml:space="preserve">Ensure the regular, safe, and unobstructed delivery of humanitarian aid to all areas of the Gaza Strip, including food, medicines, fuel, and medical supplies. </w:t>
      </w:r>
    </w:p>
    <w:p w14:paraId="421F52E4" w14:textId="77777777" w:rsidR="00AA0ACB" w:rsidRPr="00AA0ACB" w:rsidRDefault="00AA0ACB" w:rsidP="00AA0ACB">
      <w:pPr>
        <w:numPr>
          <w:ilvl w:val="0"/>
          <w:numId w:val="4"/>
        </w:numPr>
        <w:bidi w:val="0"/>
        <w:spacing w:before="100" w:beforeAutospacing="1" w:after="100" w:afterAutospacing="1" w:line="240" w:lineRule="auto"/>
        <w:jc w:val="both"/>
        <w:rPr>
          <w:rFonts w:ascii="Times New Roman" w:eastAsia="Times New Roman" w:hAnsi="Times New Roman" w:cs="Times New Roman"/>
          <w:sz w:val="24"/>
          <w:szCs w:val="24"/>
          <w:lang w:bidi="ar-PS"/>
        </w:rPr>
      </w:pPr>
      <w:r w:rsidRPr="00AA0ACB">
        <w:rPr>
          <w:rFonts w:ascii="Times New Roman" w:eastAsia="Times New Roman" w:hAnsi="Times New Roman" w:cs="Times New Roman"/>
          <w:sz w:val="24"/>
          <w:szCs w:val="24"/>
          <w:lang w:bidi="ar-PS"/>
        </w:rPr>
        <w:t>Call upon donor countries and humanitarian institutions, including Operation Chivalrous Knight 3, to transition from emergency response to sustainable recovery by supporting local production, livelihoods, sustainable nutrition, water desalination, and linking relief programs to early recovery projects such as cash-for-work.</w:t>
      </w:r>
    </w:p>
    <w:p w14:paraId="23B6D93D" w14:textId="77777777" w:rsidR="00DC2F68" w:rsidRPr="00AA0ACB" w:rsidRDefault="00AA0ACB" w:rsidP="00AA0ACB">
      <w:pPr>
        <w:jc w:val="both"/>
        <w:rPr>
          <w:rFonts w:hint="cs"/>
          <w:lang w:bidi="ar-PS"/>
        </w:rPr>
      </w:pPr>
    </w:p>
    <w:sectPr w:rsidR="00DC2F68" w:rsidRPr="00AA0ACB" w:rsidSect="00794B4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A406E"/>
    <w:multiLevelType w:val="multilevel"/>
    <w:tmpl w:val="FDAE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E17B3"/>
    <w:multiLevelType w:val="multilevel"/>
    <w:tmpl w:val="D452D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786055"/>
    <w:multiLevelType w:val="multilevel"/>
    <w:tmpl w:val="E03C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43B75"/>
    <w:multiLevelType w:val="multilevel"/>
    <w:tmpl w:val="8D66E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1D7"/>
    <w:rsid w:val="00794B45"/>
    <w:rsid w:val="00896869"/>
    <w:rsid w:val="00AA0ACB"/>
    <w:rsid w:val="00B821D7"/>
  </w:rsids>
  <m:mathPr>
    <m:mathFont m:val="Cambria Math"/>
    <m:brkBin m:val="before"/>
    <m:brkBinSub m:val="--"/>
    <m:smallFrac m:val="0"/>
    <m:dispDef/>
    <m:lMargin m:val="0"/>
    <m:rMargin m:val="0"/>
    <m:defJc m:val="centerGroup"/>
    <m:wrapIndent m:val="1440"/>
    <m:intLim m:val="subSup"/>
    <m:naryLim m:val="undOvr"/>
  </m:mathPr>
  <w:themeFontLang w:val="en-US" w:bidi="ar-P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BB9F"/>
  <w15:chartTrackingRefBased/>
  <w15:docId w15:val="{A0D59EE8-B103-4C26-B791-819AEC6D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3">
    <w:name w:val="heading 3"/>
    <w:basedOn w:val="a"/>
    <w:link w:val="3Char"/>
    <w:uiPriority w:val="9"/>
    <w:qFormat/>
    <w:rsid w:val="00AA0ACB"/>
    <w:pPr>
      <w:bidi w:val="0"/>
      <w:spacing w:before="100" w:beforeAutospacing="1" w:after="100" w:afterAutospacing="1" w:line="240" w:lineRule="auto"/>
      <w:outlineLvl w:val="2"/>
    </w:pPr>
    <w:rPr>
      <w:rFonts w:ascii="Times New Roman" w:eastAsia="Times New Roman" w:hAnsi="Times New Roman" w:cs="Times New Roman"/>
      <w:b/>
      <w:bCs/>
      <w:sz w:val="27"/>
      <w:szCs w:val="27"/>
      <w:lang w:bidi="ar-PS"/>
    </w:rPr>
  </w:style>
  <w:style w:type="paragraph" w:styleId="4">
    <w:name w:val="heading 4"/>
    <w:basedOn w:val="a"/>
    <w:link w:val="4Char"/>
    <w:uiPriority w:val="9"/>
    <w:qFormat/>
    <w:rsid w:val="00AA0ACB"/>
    <w:pPr>
      <w:bidi w:val="0"/>
      <w:spacing w:before="100" w:beforeAutospacing="1" w:after="100" w:afterAutospacing="1" w:line="240" w:lineRule="auto"/>
      <w:outlineLvl w:val="3"/>
    </w:pPr>
    <w:rPr>
      <w:rFonts w:ascii="Times New Roman" w:eastAsia="Times New Roman" w:hAnsi="Times New Roman" w:cs="Times New Roman"/>
      <w:b/>
      <w:bCs/>
      <w:sz w:val="24"/>
      <w:szCs w:val="24"/>
      <w:lang w:bidi="ar-PS"/>
    </w:rPr>
  </w:style>
  <w:style w:type="paragraph" w:styleId="5">
    <w:name w:val="heading 5"/>
    <w:basedOn w:val="a"/>
    <w:link w:val="5Char"/>
    <w:uiPriority w:val="9"/>
    <w:qFormat/>
    <w:rsid w:val="00AA0ACB"/>
    <w:pPr>
      <w:bidi w:val="0"/>
      <w:spacing w:before="100" w:beforeAutospacing="1" w:after="100" w:afterAutospacing="1" w:line="240" w:lineRule="auto"/>
      <w:outlineLvl w:val="4"/>
    </w:pPr>
    <w:rPr>
      <w:rFonts w:ascii="Times New Roman" w:eastAsia="Times New Roman" w:hAnsi="Times New Roman" w:cs="Times New Roman"/>
      <w:b/>
      <w:bCs/>
      <w:sz w:val="20"/>
      <w:szCs w:val="20"/>
      <w:lang w:bidi="ar-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uiPriority w:val="9"/>
    <w:rsid w:val="00AA0ACB"/>
    <w:rPr>
      <w:rFonts w:ascii="Times New Roman" w:eastAsia="Times New Roman" w:hAnsi="Times New Roman" w:cs="Times New Roman"/>
      <w:b/>
      <w:bCs/>
      <w:sz w:val="27"/>
      <w:szCs w:val="27"/>
      <w:lang w:bidi="ar-PS"/>
    </w:rPr>
  </w:style>
  <w:style w:type="character" w:customStyle="1" w:styleId="4Char">
    <w:name w:val="عنوان 4 Char"/>
    <w:basedOn w:val="a0"/>
    <w:link w:val="4"/>
    <w:uiPriority w:val="9"/>
    <w:rsid w:val="00AA0ACB"/>
    <w:rPr>
      <w:rFonts w:ascii="Times New Roman" w:eastAsia="Times New Roman" w:hAnsi="Times New Roman" w:cs="Times New Roman"/>
      <w:b/>
      <w:bCs/>
      <w:sz w:val="24"/>
      <w:szCs w:val="24"/>
      <w:lang w:bidi="ar-PS"/>
    </w:rPr>
  </w:style>
  <w:style w:type="character" w:customStyle="1" w:styleId="5Char">
    <w:name w:val="عنوان 5 Char"/>
    <w:basedOn w:val="a0"/>
    <w:link w:val="5"/>
    <w:uiPriority w:val="9"/>
    <w:rsid w:val="00AA0ACB"/>
    <w:rPr>
      <w:rFonts w:ascii="Times New Roman" w:eastAsia="Times New Roman" w:hAnsi="Times New Roman" w:cs="Times New Roman"/>
      <w:b/>
      <w:bCs/>
      <w:sz w:val="20"/>
      <w:szCs w:val="20"/>
      <w:lang w:bidi="ar-PS"/>
    </w:rPr>
  </w:style>
  <w:style w:type="paragraph" w:styleId="a3">
    <w:name w:val="Normal (Web)"/>
    <w:basedOn w:val="a"/>
    <w:uiPriority w:val="99"/>
    <w:semiHidden/>
    <w:unhideWhenUsed/>
    <w:rsid w:val="00AA0ACB"/>
    <w:pPr>
      <w:bidi w:val="0"/>
      <w:spacing w:before="100" w:beforeAutospacing="1" w:after="100" w:afterAutospacing="1" w:line="240" w:lineRule="auto"/>
    </w:pPr>
    <w:rPr>
      <w:rFonts w:ascii="Times New Roman" w:eastAsia="Times New Roman" w:hAnsi="Times New Roman" w:cs="Times New Roman"/>
      <w:sz w:val="24"/>
      <w:szCs w:val="24"/>
      <w:lang w:bidi="ar-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37483">
      <w:bodyDiv w:val="1"/>
      <w:marLeft w:val="0"/>
      <w:marRight w:val="0"/>
      <w:marTop w:val="0"/>
      <w:marBottom w:val="0"/>
      <w:divBdr>
        <w:top w:val="none" w:sz="0" w:space="0" w:color="auto"/>
        <w:left w:val="none" w:sz="0" w:space="0" w:color="auto"/>
        <w:bottom w:val="none" w:sz="0" w:space="0" w:color="auto"/>
        <w:right w:val="none" w:sz="0" w:space="0" w:color="auto"/>
      </w:divBdr>
      <w:divsChild>
        <w:div w:id="1624312798">
          <w:marLeft w:val="0"/>
          <w:marRight w:val="0"/>
          <w:marTop w:val="0"/>
          <w:marBottom w:val="0"/>
          <w:divBdr>
            <w:top w:val="none" w:sz="0" w:space="0" w:color="auto"/>
            <w:left w:val="none" w:sz="0" w:space="0" w:color="auto"/>
            <w:bottom w:val="none" w:sz="0" w:space="0" w:color="auto"/>
            <w:right w:val="none" w:sz="0" w:space="0" w:color="auto"/>
          </w:divBdr>
          <w:divsChild>
            <w:div w:id="153765822">
              <w:marLeft w:val="0"/>
              <w:marRight w:val="0"/>
              <w:marTop w:val="0"/>
              <w:marBottom w:val="0"/>
              <w:divBdr>
                <w:top w:val="none" w:sz="0" w:space="0" w:color="auto"/>
                <w:left w:val="none" w:sz="0" w:space="0" w:color="auto"/>
                <w:bottom w:val="none" w:sz="0" w:space="0" w:color="auto"/>
                <w:right w:val="none" w:sz="0" w:space="0" w:color="auto"/>
              </w:divBdr>
              <w:divsChild>
                <w:div w:id="1978412526">
                  <w:marLeft w:val="0"/>
                  <w:marRight w:val="0"/>
                  <w:marTop w:val="0"/>
                  <w:marBottom w:val="0"/>
                  <w:divBdr>
                    <w:top w:val="none" w:sz="0" w:space="0" w:color="auto"/>
                    <w:left w:val="none" w:sz="0" w:space="0" w:color="auto"/>
                    <w:bottom w:val="none" w:sz="0" w:space="0" w:color="auto"/>
                    <w:right w:val="none" w:sz="0" w:space="0" w:color="auto"/>
                  </w:divBdr>
                </w:div>
                <w:div w:id="53119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2823</Words>
  <Characters>16093</Characters>
  <Application>Microsoft Office Word</Application>
  <DocSecurity>0</DocSecurity>
  <Lines>134</Lines>
  <Paragraphs>37</Paragraphs>
  <ScaleCrop>false</ScaleCrop>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2026-07-30T09:44:00Z</dcterms:created>
  <dcterms:modified xsi:type="dcterms:W3CDTF">2026-07-30T09:45:00Z</dcterms:modified>
</cp:coreProperties>
</file>